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9FB559" w:rsidR="0049405C" w:rsidRPr="00C24D79" w:rsidRDefault="001B173B" w:rsidP="001B173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B173B">
              <w:rPr>
                <w:rFonts w:ascii="等线" w:eastAsia="等线" w:hAnsi="Times New Roman"/>
                <w:b/>
                <w:color w:val="000000"/>
                <w:sz w:val="48"/>
              </w:rPr>
              <w:t>MARCUS CHEN</w:t>
            </w:r>
            <w:bookmarkEnd w:id="0"/>
          </w:p>
          <w:p w14:paraId="706EB16B" w14:textId="5FFCECE6" w:rsidR="0049405C" w:rsidRPr="00C24D79" w:rsidRDefault="001B173B" w:rsidP="001B173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B173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5191E08" w:rsidR="0049405C" w:rsidRPr="00C24D79" w:rsidRDefault="001B173B" w:rsidP="001B173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B173B">
              <w:rPr>
                <w:rFonts w:ascii="等线" w:eastAsia="等线" w:hAnsi="Times New Roman"/>
                <w:color w:val="000000"/>
              </w:rPr>
              <w:t>+86 10 5769 5603</w:t>
            </w:r>
            <w:bookmarkEnd w:id="3"/>
          </w:p>
          <w:p w14:paraId="4F910ACA" w14:textId="2FA1D0A7" w:rsidR="0049405C" w:rsidRPr="00C24D79" w:rsidRDefault="001B173B" w:rsidP="001B173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B173B">
              <w:rPr>
                <w:rFonts w:ascii="等线" w:eastAsia="等线" w:hAnsi="Times New Roman"/>
                <w:color w:val="000000"/>
              </w:rPr>
              <w:t>marcus.chen@fangdalaw.com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4C6A538" w:rsidR="0049405C" w:rsidRPr="00C24D79" w:rsidRDefault="001B173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3BD4C7C" wp14:editId="648DE68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DCE75E6" w:rsidR="009465FB" w:rsidRPr="00C24D79" w:rsidRDefault="001B173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B173B">
              <w:rPr>
                <w:rFonts w:ascii="等线" w:eastAsia="等线" w:hAnsi="Times New Roman"/>
                <w:color w:val="000000"/>
                <w:szCs w:val="21"/>
              </w:rPr>
              <w:t>MR. CHEN SPECIALIZES IN HONG KONG EQUITY CAPITAL MARKETS, CORPORATE GOVERNANCE, AND COMPLIANCE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6EB7AB5" w14:textId="77777777" w:rsidR="001B173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8268C9F" w14:textId="77777777" w:rsidR="001B173B" w:rsidRDefault="001B173B" w:rsidP="001B173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173B">
        <w:rPr>
          <w:rFonts w:ascii="等线" w:eastAsia="等线" w:hAnsi="等线"/>
          <w:b/>
          <w:sz w:val="24"/>
        </w:rPr>
        <w:t>REPRESENTATIVE MATTERS AND CASES</w:t>
      </w:r>
    </w:p>
    <w:p w14:paraId="67F5B3ED" w14:textId="77777777" w:rsidR="001B173B" w:rsidRDefault="001B173B" w:rsidP="001B173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3E48BCF" w14:textId="77777777" w:rsidR="001B173B" w:rsidRDefault="001B173B" w:rsidP="001B173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Breton Technology in its IPO and listing on the Hong Kong Stock Exchange</w:t>
      </w:r>
    </w:p>
    <w:p w14:paraId="2BB49A29" w14:textId="77777777" w:rsidR="001B173B" w:rsidRDefault="001B173B" w:rsidP="001B173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Hangzhou Jiuyuan Genetic Biopharmaceutical in its IPO and listing on the Hong Kong Stock Exchange</w:t>
      </w:r>
    </w:p>
    <w:p w14:paraId="2CFF06A5" w14:textId="77777777" w:rsidR="001B173B" w:rsidRDefault="001B173B" w:rsidP="001B173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the underwriters in Qunabox Group</w:t>
      </w:r>
      <w:r w:rsidRPr="001B173B">
        <w:rPr>
          <w:rFonts w:ascii="等线" w:eastAsia="等线" w:hAnsi="Times New Roman"/>
          <w:color w:val="000000"/>
        </w:rPr>
        <w:t>’</w:t>
      </w:r>
      <w:r w:rsidRPr="001B173B">
        <w:rPr>
          <w:rFonts w:ascii="等线" w:eastAsia="等线" w:hAnsi="Times New Roman"/>
          <w:color w:val="000000"/>
        </w:rPr>
        <w:t>s IPO and listing on the Hong Kong Stock Exchange</w:t>
      </w:r>
    </w:p>
    <w:p w14:paraId="388B261B" w14:textId="77777777" w:rsidR="001B173B" w:rsidRDefault="001B173B" w:rsidP="001B173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GOGOX Holdings in its IPO and listing on the Hong Kong Stock Exchange</w:t>
      </w:r>
    </w:p>
    <w:p w14:paraId="7A3FA901" w14:textId="77777777" w:rsidR="001B173B" w:rsidRDefault="001B173B" w:rsidP="001B173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Digital Hollywood Interactive in its IPO and listing on the Hong Kong Stock Exchange</w:t>
      </w:r>
    </w:p>
    <w:p w14:paraId="45A635D7" w14:textId="77777777" w:rsidR="001B173B" w:rsidRDefault="001B173B" w:rsidP="001B173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China Wan Tong Yuan Holdings in its IPO, listing, and transfer of listing on the Main Board of the Hong Kong Stock Exchange</w:t>
      </w:r>
    </w:p>
    <w:p w14:paraId="320EE164" w14:textId="77777777" w:rsidR="001B173B" w:rsidRDefault="001B173B" w:rsidP="001B173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BAIC Motor in its IPO and listing on the Hong Kong Stock Exchange</w:t>
      </w:r>
    </w:p>
    <w:p w14:paraId="4828B1CE" w14:textId="77777777" w:rsidR="001B173B" w:rsidRDefault="001B173B" w:rsidP="001B173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the underwriters in PW Medtech Group</w:t>
      </w:r>
      <w:r w:rsidRPr="001B173B">
        <w:rPr>
          <w:rFonts w:ascii="等线" w:eastAsia="等线" w:hAnsi="Times New Roman"/>
          <w:color w:val="000000"/>
        </w:rPr>
        <w:t>’</w:t>
      </w:r>
      <w:r w:rsidRPr="001B173B">
        <w:rPr>
          <w:rFonts w:ascii="等线" w:eastAsia="等线" w:hAnsi="Times New Roman"/>
          <w:color w:val="000000"/>
        </w:rPr>
        <w:t>s IPO and listing on the Hong Kong Stock Exchange</w:t>
      </w:r>
    </w:p>
    <w:p w14:paraId="56564854" w14:textId="77777777" w:rsidR="001B173B" w:rsidRDefault="001B173B" w:rsidP="001B173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the underwriters in China Galaxy Securities</w:t>
      </w:r>
      <w:r w:rsidRPr="001B173B">
        <w:rPr>
          <w:rFonts w:ascii="等线" w:eastAsia="等线" w:hAnsi="Times New Roman"/>
          <w:color w:val="000000"/>
        </w:rPr>
        <w:t>’</w:t>
      </w:r>
      <w:r w:rsidRPr="001B173B">
        <w:rPr>
          <w:rFonts w:ascii="等线" w:eastAsia="等线" w:hAnsi="Times New Roman"/>
          <w:color w:val="000000"/>
        </w:rPr>
        <w:t xml:space="preserve"> IPO and listing on the Hong Kong Stock Exchange</w:t>
      </w:r>
    </w:p>
    <w:p w14:paraId="36F34C8D" w14:textId="77777777" w:rsidR="001B173B" w:rsidRDefault="001B173B" w:rsidP="001B173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China Aluminum International Engineering in its IPO and listing on the Hong Kong Stock Exchange</w:t>
      </w:r>
    </w:p>
    <w:p w14:paraId="7C5722E5" w14:textId="77777777" w:rsidR="001B173B" w:rsidRDefault="001B173B" w:rsidP="001B173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China Hanking Holdings in its IPO and listing on the Hong Kong Stock Exchange</w:t>
      </w:r>
    </w:p>
    <w:p w14:paraId="5EF66822" w14:textId="77777777" w:rsidR="001B173B" w:rsidRDefault="001B173B" w:rsidP="001B173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the underwriters in Da Ming International Holdings</w:t>
      </w:r>
      <w:r w:rsidRPr="001B173B">
        <w:rPr>
          <w:rFonts w:ascii="等线" w:eastAsia="等线" w:hAnsi="Times New Roman"/>
          <w:color w:val="000000"/>
        </w:rPr>
        <w:t>’</w:t>
      </w:r>
      <w:r w:rsidRPr="001B173B">
        <w:rPr>
          <w:rFonts w:ascii="等线" w:eastAsia="等线" w:hAnsi="Times New Roman"/>
          <w:color w:val="000000"/>
        </w:rPr>
        <w:t xml:space="preserve"> IPO and listing on the Hong Kong Stock Exchange</w:t>
      </w:r>
    </w:p>
    <w:p w14:paraId="2D3A167A" w14:textId="77777777" w:rsidR="001B173B" w:rsidRDefault="001B173B" w:rsidP="001B173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China Datang Corporation Renewable Power in its IPO and listing on the Hong Kong Stock Exchange</w:t>
      </w:r>
    </w:p>
    <w:p w14:paraId="0403F979" w14:textId="77777777" w:rsidR="001B173B" w:rsidRDefault="001B173B" w:rsidP="001B173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the underwriters in China Hongqiao Group</w:t>
      </w:r>
      <w:r w:rsidRPr="001B173B">
        <w:rPr>
          <w:rFonts w:ascii="等线" w:eastAsia="等线" w:hAnsi="Times New Roman"/>
          <w:color w:val="000000"/>
        </w:rPr>
        <w:t>’</w:t>
      </w:r>
      <w:r w:rsidRPr="001B173B">
        <w:rPr>
          <w:rFonts w:ascii="等线" w:eastAsia="等线" w:hAnsi="Times New Roman"/>
          <w:color w:val="000000"/>
        </w:rPr>
        <w:t>s IPO and listing on the Hong Kong Stock Exchange</w:t>
      </w:r>
    </w:p>
    <w:p w14:paraId="1D979E9A" w14:textId="77777777" w:rsidR="001B173B" w:rsidRDefault="001B173B" w:rsidP="001B173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HongShan Capital China in various pre-IPO investments, cornerstone investments, listed company investments, and block trade transactions in the Hong Kong capital market</w:t>
      </w:r>
    </w:p>
    <w:p w14:paraId="6E383E96" w14:textId="77777777" w:rsidR="001B173B" w:rsidRDefault="001B173B" w:rsidP="001B173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Warburg Pincus in various pre-IPO investments and block trade transactions in the Hong Kong capital market</w:t>
      </w:r>
    </w:p>
    <w:p w14:paraId="71F83695" w14:textId="77777777" w:rsidR="001B173B" w:rsidRDefault="001B173B" w:rsidP="001B173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Represented Genertec Universal Medical Group in its issuance of guaranteed convertible bonds and new shares and its various acquisitions in the healthcare sector</w:t>
      </w:r>
    </w:p>
    <w:p w14:paraId="19E3BCFB" w14:textId="77777777" w:rsidR="001B173B" w:rsidRDefault="001B173B" w:rsidP="001B173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173B">
        <w:rPr>
          <w:rFonts w:ascii="等线" w:eastAsia="等线" w:hAnsi="等线"/>
          <w:b/>
          <w:sz w:val="24"/>
        </w:rPr>
        <w:t>Education</w:t>
      </w:r>
    </w:p>
    <w:p w14:paraId="44D85857" w14:textId="77777777" w:rsidR="001B173B" w:rsidRDefault="001B173B" w:rsidP="001B173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Columbia Law School, LL.M. (Harlan Fiske Stone Scholar)</w:t>
      </w:r>
    </w:p>
    <w:p w14:paraId="131FF3C8" w14:textId="77777777" w:rsidR="001B173B" w:rsidRDefault="001B173B" w:rsidP="001B173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China University of Political Science and Law, LL.B.</w:t>
      </w:r>
    </w:p>
    <w:p w14:paraId="7E2540D8" w14:textId="77777777" w:rsidR="001B173B" w:rsidRDefault="001B173B" w:rsidP="001B173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173B">
        <w:rPr>
          <w:rFonts w:ascii="等线" w:eastAsia="等线" w:hAnsi="等线"/>
          <w:b/>
          <w:sz w:val="24"/>
        </w:rPr>
        <w:t>Professional Qualification</w:t>
      </w:r>
    </w:p>
    <w:p w14:paraId="2D90E301" w14:textId="77777777" w:rsidR="001B173B" w:rsidRDefault="001B173B" w:rsidP="001B173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Passed the PRC bar examination</w:t>
      </w:r>
    </w:p>
    <w:p w14:paraId="2FC829FE" w14:textId="77777777" w:rsidR="001B173B" w:rsidRDefault="001B173B" w:rsidP="001B173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Admitted to practice in New York</w:t>
      </w:r>
    </w:p>
    <w:p w14:paraId="04C5502D" w14:textId="77777777" w:rsidR="001B173B" w:rsidRDefault="001B173B" w:rsidP="001B173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173B">
        <w:rPr>
          <w:rFonts w:ascii="等线" w:eastAsia="等线" w:hAnsi="等线"/>
          <w:b/>
          <w:sz w:val="24"/>
        </w:rPr>
        <w:t>Work Language</w:t>
      </w:r>
    </w:p>
    <w:p w14:paraId="4C67711C" w14:textId="77777777" w:rsidR="001B173B" w:rsidRDefault="001B173B" w:rsidP="001B173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English</w:t>
      </w:r>
    </w:p>
    <w:p w14:paraId="59AE619D" w14:textId="77777777" w:rsidR="001B173B" w:rsidRDefault="001B173B" w:rsidP="001B173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 xml:space="preserve">Mandarin </w:t>
      </w:r>
    </w:p>
    <w:p w14:paraId="6F22A69B" w14:textId="77777777" w:rsidR="001B173B" w:rsidRDefault="001B173B" w:rsidP="001B173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Cantonese</w:t>
      </w:r>
    </w:p>
    <w:p w14:paraId="4816986A" w14:textId="77777777" w:rsidR="001B173B" w:rsidRDefault="001B173B" w:rsidP="001B173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173B">
        <w:rPr>
          <w:rFonts w:ascii="等线" w:eastAsia="等线" w:hAnsi="等线"/>
          <w:b/>
          <w:sz w:val="24"/>
        </w:rPr>
        <w:t>Professional Background</w:t>
      </w:r>
    </w:p>
    <w:p w14:paraId="5567FC3C" w14:textId="25E1EC1B" w:rsidR="00686369" w:rsidRPr="001B173B" w:rsidRDefault="001B173B" w:rsidP="001B173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173B">
        <w:rPr>
          <w:rFonts w:ascii="等线" w:eastAsia="等线" w:hAnsi="Times New Roman"/>
          <w:color w:val="000000"/>
        </w:rPr>
        <w:t>Mr. Chen joined Fangda in 2026. Before joining the firm, he worked at major law firms, including Cooley LLP, Wilson Sonsini Goodrich &amp; Rosati, and Clifford Chance.</w:t>
      </w:r>
    </w:p>
    <w:sectPr w:rsidR="00686369" w:rsidRPr="001B173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0405"/>
    <w:multiLevelType w:val="singleLevel"/>
    <w:tmpl w:val="3A02A9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6A3F35"/>
    <w:multiLevelType w:val="singleLevel"/>
    <w:tmpl w:val="6D9A1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B214BA"/>
    <w:multiLevelType w:val="singleLevel"/>
    <w:tmpl w:val="94A05F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352583"/>
    <w:multiLevelType w:val="singleLevel"/>
    <w:tmpl w:val="B6BCD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2C00BC"/>
    <w:multiLevelType w:val="singleLevel"/>
    <w:tmpl w:val="D09C84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7062C8"/>
    <w:multiLevelType w:val="singleLevel"/>
    <w:tmpl w:val="CE541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205732"/>
    <w:multiLevelType w:val="singleLevel"/>
    <w:tmpl w:val="4A96D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987839"/>
    <w:multiLevelType w:val="singleLevel"/>
    <w:tmpl w:val="6F101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74385B"/>
    <w:multiLevelType w:val="singleLevel"/>
    <w:tmpl w:val="A0B49A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35D318E"/>
    <w:multiLevelType w:val="singleLevel"/>
    <w:tmpl w:val="749E66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556A58"/>
    <w:multiLevelType w:val="singleLevel"/>
    <w:tmpl w:val="634E22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273650"/>
    <w:multiLevelType w:val="singleLevel"/>
    <w:tmpl w:val="1652C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F5F5360"/>
    <w:multiLevelType w:val="singleLevel"/>
    <w:tmpl w:val="ED98A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FC810A1"/>
    <w:multiLevelType w:val="singleLevel"/>
    <w:tmpl w:val="A432B7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FD45F30"/>
    <w:multiLevelType w:val="singleLevel"/>
    <w:tmpl w:val="F5066D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0C2D9F"/>
    <w:multiLevelType w:val="singleLevel"/>
    <w:tmpl w:val="CE541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1F10E5F"/>
    <w:multiLevelType w:val="singleLevel"/>
    <w:tmpl w:val="C6261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962266"/>
    <w:multiLevelType w:val="singleLevel"/>
    <w:tmpl w:val="04EC3F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CC08D9"/>
    <w:multiLevelType w:val="singleLevel"/>
    <w:tmpl w:val="E2DA4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5801447"/>
    <w:multiLevelType w:val="singleLevel"/>
    <w:tmpl w:val="D3027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D371FE"/>
    <w:multiLevelType w:val="singleLevel"/>
    <w:tmpl w:val="A9AA54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086EB7"/>
    <w:multiLevelType w:val="singleLevel"/>
    <w:tmpl w:val="C6846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C013AC"/>
    <w:multiLevelType w:val="singleLevel"/>
    <w:tmpl w:val="407664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9C64FE"/>
    <w:multiLevelType w:val="singleLevel"/>
    <w:tmpl w:val="5BC64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4A35FA"/>
    <w:multiLevelType w:val="singleLevel"/>
    <w:tmpl w:val="DD42C8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EF261D8"/>
    <w:multiLevelType w:val="singleLevel"/>
    <w:tmpl w:val="E508F3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15"/>
  </w:num>
  <w:num w:numId="4">
    <w:abstractNumId w:val="3"/>
  </w:num>
  <w:num w:numId="5">
    <w:abstractNumId w:val="2"/>
  </w:num>
  <w:num w:numId="6">
    <w:abstractNumId w:val="24"/>
  </w:num>
  <w:num w:numId="7">
    <w:abstractNumId w:val="21"/>
  </w:num>
  <w:num w:numId="8">
    <w:abstractNumId w:val="27"/>
  </w:num>
  <w:num w:numId="9">
    <w:abstractNumId w:val="0"/>
  </w:num>
  <w:num w:numId="10">
    <w:abstractNumId w:val="10"/>
  </w:num>
  <w:num w:numId="11">
    <w:abstractNumId w:val="1"/>
  </w:num>
  <w:num w:numId="12">
    <w:abstractNumId w:val="20"/>
  </w:num>
  <w:num w:numId="13">
    <w:abstractNumId w:val="16"/>
  </w:num>
  <w:num w:numId="14">
    <w:abstractNumId w:val="8"/>
  </w:num>
  <w:num w:numId="15">
    <w:abstractNumId w:val="25"/>
  </w:num>
  <w:num w:numId="16">
    <w:abstractNumId w:val="18"/>
  </w:num>
  <w:num w:numId="17">
    <w:abstractNumId w:val="4"/>
  </w:num>
  <w:num w:numId="18">
    <w:abstractNumId w:val="22"/>
  </w:num>
  <w:num w:numId="19">
    <w:abstractNumId w:val="12"/>
  </w:num>
  <w:num w:numId="20">
    <w:abstractNumId w:val="11"/>
  </w:num>
  <w:num w:numId="21">
    <w:abstractNumId w:val="7"/>
  </w:num>
  <w:num w:numId="22">
    <w:abstractNumId w:val="19"/>
  </w:num>
  <w:num w:numId="23">
    <w:abstractNumId w:val="14"/>
  </w:num>
  <w:num w:numId="24">
    <w:abstractNumId w:val="26"/>
  </w:num>
  <w:num w:numId="25">
    <w:abstractNumId w:val="6"/>
  </w:num>
  <w:num w:numId="26">
    <w:abstractNumId w:val="23"/>
  </w:num>
  <w:num w:numId="27">
    <w:abstractNumId w:val="5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B173B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B173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B173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75CC62-C021-4179-8176-C051262BD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2026-06-25T02:49:00Z</dcterms:created>
  <dcterms:modified xsi:type="dcterms:W3CDTF">2026-06-25T02:49:00Z</dcterms:modified>
</cp:coreProperties>
</file>