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D4BCE20" w:rsidR="0049405C" w:rsidRPr="00C24D79" w:rsidRDefault="006D057B" w:rsidP="006D057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D057B">
              <w:rPr>
                <w:rFonts w:ascii="等线" w:eastAsia="等线" w:hAnsi="Times New Roman"/>
                <w:b/>
                <w:color w:val="000000"/>
                <w:sz w:val="48"/>
              </w:rPr>
              <w:t>YUSONG WANG</w:t>
            </w:r>
            <w:bookmarkEnd w:id="0"/>
          </w:p>
          <w:p w14:paraId="706EB16B" w14:textId="702F8042" w:rsidR="0049405C" w:rsidRPr="00C24D79" w:rsidRDefault="006D057B" w:rsidP="006D057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D057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D057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D057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9584DA0" w:rsidR="0049405C" w:rsidRPr="00C24D79" w:rsidRDefault="006D057B" w:rsidP="006D057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D057B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7BA6D175" w:rsidR="0049405C" w:rsidRPr="00C24D79" w:rsidRDefault="006D057B" w:rsidP="006D057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D057B">
              <w:rPr>
                <w:rFonts w:ascii="等线" w:eastAsia="等线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A0DC055" w:rsidR="0049405C" w:rsidRPr="00C24D79" w:rsidRDefault="006D057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C985345" wp14:editId="52F9A071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9BE69A4" w:rsidR="009465FB" w:rsidRPr="00C24D79" w:rsidRDefault="006D057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D057B">
              <w:rPr>
                <w:rFonts w:ascii="等线" w:eastAsia="等线" w:hAnsi="Times New Roman"/>
                <w:color w:val="000000"/>
                <w:szCs w:val="21"/>
              </w:rPr>
              <w:t>MR. WANG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333B477" w14:textId="77777777" w:rsidR="006D057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67A7E98" w14:textId="77777777" w:rsidR="006D057B" w:rsidRDefault="006D057B" w:rsidP="006D05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057B">
        <w:rPr>
          <w:rFonts w:ascii="等线" w:eastAsia="等线" w:hAnsi="等线"/>
          <w:b/>
          <w:sz w:val="24"/>
        </w:rPr>
        <w:t>REPRESENTATIVE MATTERS AND CASES</w:t>
      </w:r>
    </w:p>
    <w:p w14:paraId="03F56694" w14:textId="77777777" w:rsidR="006D057B" w:rsidRDefault="006D057B" w:rsidP="006D057B">
      <w:pPr>
        <w:pStyle w:val="af5"/>
        <w:spacing w:before="12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PUBLIC OFFERING</w:t>
      </w:r>
    </w:p>
    <w:p w14:paraId="1871A7AA" w14:textId="77777777" w:rsidR="006D057B" w:rsidRDefault="006D057B" w:rsidP="006D057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Represented Motorcomm (688515.SH) in its A-share IPO</w:t>
      </w:r>
    </w:p>
    <w:p w14:paraId="685BC0D3" w14:textId="77777777" w:rsidR="006D057B" w:rsidRDefault="006D057B" w:rsidP="006D057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Represented MicuRx (688373.SH) in its A-share IPO</w:t>
      </w:r>
    </w:p>
    <w:p w14:paraId="4D71F0F2" w14:textId="77777777" w:rsidR="006D057B" w:rsidRDefault="006D057B" w:rsidP="006D057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Represented the sponsor in connection with the A-share IPO of Intsig (688615.SH)</w:t>
      </w:r>
    </w:p>
    <w:p w14:paraId="614B2A95" w14:textId="77777777" w:rsidR="006D057B" w:rsidRDefault="006D057B" w:rsidP="006D057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Represented the sponsor in connection with the A-share IPO of Cellwise (688325.SH)</w:t>
      </w:r>
    </w:p>
    <w:p w14:paraId="7EBCD458" w14:textId="77777777" w:rsidR="006D057B" w:rsidRDefault="006D057B" w:rsidP="006D057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Represented the sponsor in connection with the A-share IPO of NovelBeam (688677.SH)</w:t>
      </w:r>
    </w:p>
    <w:p w14:paraId="5A95C653" w14:textId="77777777" w:rsidR="006D057B" w:rsidRDefault="006D057B" w:rsidP="006D057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Represented AppTec (603259.SH) in its A-share private placement</w:t>
      </w:r>
    </w:p>
    <w:p w14:paraId="18A609DE" w14:textId="77777777" w:rsidR="006D057B" w:rsidRDefault="006D057B" w:rsidP="006D057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Represented the sponsor in connection with the A-share IPO of Amlogic (688099.SH)</w:t>
      </w:r>
    </w:p>
    <w:p w14:paraId="05F1ABBA" w14:textId="77777777" w:rsidR="006D057B" w:rsidRDefault="006D057B" w:rsidP="006D057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Represented Chinagreen (300970.SZ) in its A-share IPO</w:t>
      </w:r>
    </w:p>
    <w:p w14:paraId="16C19C6F" w14:textId="77777777" w:rsidR="006D057B" w:rsidRDefault="006D057B" w:rsidP="006D057B">
      <w:pPr>
        <w:pStyle w:val="af5"/>
        <w:spacing w:before="12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PUBLIC M&amp;A</w:t>
      </w:r>
    </w:p>
    <w:p w14:paraId="66576C3C" w14:textId="77777777" w:rsidR="006D057B" w:rsidRDefault="006D057B" w:rsidP="006D057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Acted as acquirer's counsel for AVICHT (600862.SH) in its acquisition project</w:t>
      </w:r>
    </w:p>
    <w:p w14:paraId="75565698" w14:textId="77777777" w:rsidR="006D057B" w:rsidRDefault="006D057B" w:rsidP="006D057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Acted for Sec-Motor (603988.SH) in acquiring assets from a equipment manufacturer through issuing Sec-Motor shares to the manufacturer</w:t>
      </w:r>
    </w:p>
    <w:p w14:paraId="6B4A143E" w14:textId="77777777" w:rsidR="006D057B" w:rsidRDefault="006D057B" w:rsidP="006D057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Acted for A-Zenith (603389.SH) in acquiring assets from a furniture manufacturer through issuing A-Zenith shares to the manufacturer</w:t>
      </w:r>
    </w:p>
    <w:p w14:paraId="08136F54" w14:textId="77777777" w:rsidR="006D057B" w:rsidRDefault="006D057B" w:rsidP="006D057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Acted as acquirer's counsel for Zhong Chang (00859.HK) in its acquisition project</w:t>
      </w:r>
    </w:p>
    <w:p w14:paraId="2AD58047" w14:textId="77777777" w:rsidR="006D057B" w:rsidRDefault="006D057B" w:rsidP="006D057B">
      <w:pPr>
        <w:pStyle w:val="af5"/>
        <w:spacing w:before="12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EQUITY INVESTMENT AND GENERAL CORPORATE MATTERS</w:t>
      </w:r>
    </w:p>
    <w:p w14:paraId="113D99C3" w14:textId="77777777" w:rsidR="006D057B" w:rsidRDefault="006D057B" w:rsidP="006D057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Represented SAIC Capital, Longwater Capital, SHANG QI Capital, Sunic Capital, TAO Capital, and Golden Education in their investments</w:t>
      </w:r>
    </w:p>
    <w:p w14:paraId="4784B9F1" w14:textId="77777777" w:rsidR="006D057B" w:rsidRDefault="006D057B" w:rsidP="006D057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Represented MicuRx (688373.SH) in equity financing deals</w:t>
      </w:r>
    </w:p>
    <w:p w14:paraId="12045E60" w14:textId="77777777" w:rsidR="006D057B" w:rsidRDefault="006D057B" w:rsidP="006D057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Provided general corporate legal service for MicuRx (688373.SH), Amlogic (688099.SH), Anjoy (603345.SH), and Leadshow (603272.SH)</w:t>
      </w:r>
    </w:p>
    <w:p w14:paraId="14BB47E4" w14:textId="77777777" w:rsidR="006D057B" w:rsidRDefault="006D057B" w:rsidP="006D05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057B">
        <w:rPr>
          <w:rFonts w:ascii="等线" w:eastAsia="等线" w:hAnsi="等线"/>
          <w:b/>
          <w:sz w:val="24"/>
        </w:rPr>
        <w:t>Education</w:t>
      </w:r>
    </w:p>
    <w:p w14:paraId="51E98BBD" w14:textId="77777777" w:rsidR="006D057B" w:rsidRDefault="006D057B" w:rsidP="006D057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Shanghai Jiao Tong University, J.M.</w:t>
      </w:r>
    </w:p>
    <w:p w14:paraId="1A49EF00" w14:textId="77777777" w:rsidR="006D057B" w:rsidRDefault="006D057B" w:rsidP="006D05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057B">
        <w:rPr>
          <w:rFonts w:ascii="等线" w:eastAsia="等线" w:hAnsi="等线"/>
          <w:b/>
          <w:sz w:val="24"/>
        </w:rPr>
        <w:t>Professional Qualification</w:t>
      </w:r>
    </w:p>
    <w:p w14:paraId="48B440AF" w14:textId="77777777" w:rsidR="006D057B" w:rsidRDefault="006D057B" w:rsidP="006D057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Admitted to practice in the PRC</w:t>
      </w:r>
    </w:p>
    <w:p w14:paraId="39E56211" w14:textId="77777777" w:rsidR="006D057B" w:rsidRDefault="006D057B" w:rsidP="006D057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057B">
        <w:rPr>
          <w:rFonts w:ascii="等线" w:eastAsia="等线" w:hAnsi="等线"/>
          <w:b/>
          <w:sz w:val="24"/>
        </w:rPr>
        <w:t>Professional Background</w:t>
      </w:r>
    </w:p>
    <w:p w14:paraId="5567FC3C" w14:textId="2FEFFC0B" w:rsidR="00686369" w:rsidRPr="006D057B" w:rsidRDefault="006D057B" w:rsidP="006D057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057B">
        <w:rPr>
          <w:rFonts w:ascii="等线" w:eastAsia="等线" w:hAnsi="Times New Roman"/>
          <w:color w:val="000000"/>
        </w:rPr>
        <w:t>Mr. Wang joined Fangda in 2022. Before joining the firm, he worked at a leading law firm in capital markets.</w:t>
      </w:r>
    </w:p>
    <w:sectPr w:rsidR="00686369" w:rsidRPr="006D057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32C"/>
    <w:multiLevelType w:val="singleLevel"/>
    <w:tmpl w:val="04C45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327CB3"/>
    <w:multiLevelType w:val="singleLevel"/>
    <w:tmpl w:val="E5B6F4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762CBD"/>
    <w:multiLevelType w:val="singleLevel"/>
    <w:tmpl w:val="BDA60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F125E7"/>
    <w:multiLevelType w:val="singleLevel"/>
    <w:tmpl w:val="4948D7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4320BF"/>
    <w:multiLevelType w:val="singleLevel"/>
    <w:tmpl w:val="070EFA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0832F0"/>
    <w:multiLevelType w:val="singleLevel"/>
    <w:tmpl w:val="2E84FD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D91C6C"/>
    <w:multiLevelType w:val="singleLevel"/>
    <w:tmpl w:val="BC0C88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160B77"/>
    <w:multiLevelType w:val="singleLevel"/>
    <w:tmpl w:val="4662B4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11F296D"/>
    <w:multiLevelType w:val="singleLevel"/>
    <w:tmpl w:val="BF861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2301376"/>
    <w:multiLevelType w:val="singleLevel"/>
    <w:tmpl w:val="DB54BF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5327022"/>
    <w:multiLevelType w:val="singleLevel"/>
    <w:tmpl w:val="5A361A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8FF457C"/>
    <w:multiLevelType w:val="singleLevel"/>
    <w:tmpl w:val="D21C1D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A5F5678"/>
    <w:multiLevelType w:val="singleLevel"/>
    <w:tmpl w:val="4948D7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1810E42"/>
    <w:multiLevelType w:val="singleLevel"/>
    <w:tmpl w:val="9E12C6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C2007EA"/>
    <w:multiLevelType w:val="singleLevel"/>
    <w:tmpl w:val="AE326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F5A2CC3"/>
    <w:multiLevelType w:val="singleLevel"/>
    <w:tmpl w:val="5DEA45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FEF6DA9"/>
    <w:multiLevelType w:val="singleLevel"/>
    <w:tmpl w:val="D38C18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B886D13"/>
    <w:multiLevelType w:val="singleLevel"/>
    <w:tmpl w:val="8CFAE3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FCD28E6"/>
    <w:multiLevelType w:val="singleLevel"/>
    <w:tmpl w:val="EE56EE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3"/>
  </w:num>
  <w:num w:numId="3">
    <w:abstractNumId w:val="2"/>
  </w:num>
  <w:num w:numId="4">
    <w:abstractNumId w:val="16"/>
  </w:num>
  <w:num w:numId="5">
    <w:abstractNumId w:val="4"/>
  </w:num>
  <w:num w:numId="6">
    <w:abstractNumId w:val="19"/>
  </w:num>
  <w:num w:numId="7">
    <w:abstractNumId w:val="18"/>
  </w:num>
  <w:num w:numId="8">
    <w:abstractNumId w:val="10"/>
  </w:num>
  <w:num w:numId="9">
    <w:abstractNumId w:val="7"/>
  </w:num>
  <w:num w:numId="10">
    <w:abstractNumId w:val="1"/>
  </w:num>
  <w:num w:numId="11">
    <w:abstractNumId w:val="0"/>
  </w:num>
  <w:num w:numId="12">
    <w:abstractNumId w:val="11"/>
  </w:num>
  <w:num w:numId="13">
    <w:abstractNumId w:val="15"/>
  </w:num>
  <w:num w:numId="14">
    <w:abstractNumId w:val="5"/>
  </w:num>
  <w:num w:numId="15">
    <w:abstractNumId w:val="17"/>
  </w:num>
  <w:num w:numId="16">
    <w:abstractNumId w:val="6"/>
  </w:num>
  <w:num w:numId="17">
    <w:abstractNumId w:val="12"/>
  </w:num>
  <w:num w:numId="18">
    <w:abstractNumId w:val="20"/>
  </w:num>
  <w:num w:numId="19">
    <w:abstractNumId w:val="9"/>
  </w:num>
  <w:num w:numId="20">
    <w:abstractNumId w:val="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057B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D057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D057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10457BC-4A1F-4F58-AA72-A242A8C7B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2026-10-28T09:06:00Z</dcterms:created>
  <dcterms:modified xsi:type="dcterms:W3CDTF">2026-10-28T09:06:00Z</dcterms:modified>
</cp:coreProperties>
</file>