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5BDA26B" w:rsidR="0049405C" w:rsidRPr="00C24D79" w:rsidRDefault="008C7AA2" w:rsidP="008C7AA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C7AA2">
              <w:rPr>
                <w:rFonts w:ascii="等线" w:eastAsia="等线" w:hAnsi="Times New Roman"/>
                <w:b/>
                <w:color w:val="000000"/>
                <w:sz w:val="48"/>
              </w:rPr>
              <w:t>YUSONG WANG</w:t>
            </w:r>
            <w:bookmarkEnd w:id="0"/>
          </w:p>
          <w:p w14:paraId="706EB16B" w14:textId="370CC6E7" w:rsidR="0049405C" w:rsidRPr="00C24D79" w:rsidRDefault="008C7AA2" w:rsidP="008C7AA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C7AA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C7AA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C7AA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0375234" w:rsidR="0049405C" w:rsidRPr="00C24D79" w:rsidRDefault="008C7AA2" w:rsidP="008C7AA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C7AA2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655956E7" w:rsidR="0049405C" w:rsidRPr="00C24D79" w:rsidRDefault="008C7AA2" w:rsidP="008C7AA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C7AA2">
              <w:rPr>
                <w:rFonts w:ascii="等线" w:eastAsia="等线" w:hAnsi="Times New Roman"/>
                <w:color w:val="000000"/>
              </w:rPr>
              <w:t>yusong.wang@fangdalaw.com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0EBC3F2" w:rsidR="0049405C" w:rsidRPr="00C24D79" w:rsidRDefault="008C7AA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FC8D609" wp14:editId="3B58DDD7">
                  <wp:extent cx="1651000" cy="2145249"/>
                  <wp:effectExtent l="0" t="0" r="6350" b="762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F67B6BC" w:rsidR="009465FB" w:rsidRPr="00C24D79" w:rsidRDefault="008C7AA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C7AA2">
              <w:rPr>
                <w:rFonts w:ascii="等线" w:eastAsia="等线" w:hAnsi="Times New Roman"/>
                <w:color w:val="000000"/>
                <w:szCs w:val="21"/>
              </w:rPr>
              <w:t>MR. WANG SPECIALIZES IN CAPITAL MARKETS, INCLUDING PUBLIC OFFERING, M&amp;A AND RESTRUCTURING, EQUITY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2DC5DE3" w14:textId="77777777" w:rsidR="008C7AA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44804F2" w14:textId="77777777" w:rsidR="008C7AA2" w:rsidRDefault="008C7AA2" w:rsidP="008C7AA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7AA2">
        <w:rPr>
          <w:rFonts w:ascii="等线" w:eastAsia="等线" w:hAnsi="等线"/>
          <w:b/>
          <w:sz w:val="24"/>
        </w:rPr>
        <w:t>REPRESENTATIVE MATTERS AND CASES</w:t>
      </w:r>
    </w:p>
    <w:p w14:paraId="5B9172C9" w14:textId="77777777" w:rsidR="008C7AA2" w:rsidRDefault="008C7AA2" w:rsidP="008C7AA2">
      <w:pPr>
        <w:pStyle w:val="af5"/>
        <w:spacing w:before="12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PUBLIC OFFERING</w:t>
      </w:r>
    </w:p>
    <w:p w14:paraId="1FDA667E" w14:textId="77777777" w:rsidR="008C7AA2" w:rsidRDefault="008C7AA2" w:rsidP="008C7AA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Represented Motorcomm (688515.SH) in its A-share IPO</w:t>
      </w:r>
    </w:p>
    <w:p w14:paraId="19085454" w14:textId="77777777" w:rsidR="008C7AA2" w:rsidRDefault="008C7AA2" w:rsidP="008C7AA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Represented MicuRx (688373.SH) in its A-share IPO</w:t>
      </w:r>
    </w:p>
    <w:p w14:paraId="00DB37E2" w14:textId="77777777" w:rsidR="008C7AA2" w:rsidRDefault="008C7AA2" w:rsidP="008C7AA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Represented the sponsor in connection with the A-share IPO of Intsig (688615.SH)</w:t>
      </w:r>
    </w:p>
    <w:p w14:paraId="56E3DA0D" w14:textId="77777777" w:rsidR="008C7AA2" w:rsidRDefault="008C7AA2" w:rsidP="008C7AA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Represented the sponsor in connection with the A-share IPO of Cellwise (688325.SH)</w:t>
      </w:r>
    </w:p>
    <w:p w14:paraId="161B8122" w14:textId="77777777" w:rsidR="008C7AA2" w:rsidRDefault="008C7AA2" w:rsidP="008C7AA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Represented the sponsor in connection with the A-share IPO of NovelBeam (688677.SH)</w:t>
      </w:r>
    </w:p>
    <w:p w14:paraId="1CF917A0" w14:textId="77777777" w:rsidR="008C7AA2" w:rsidRDefault="008C7AA2" w:rsidP="008C7AA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Represented AppTec (603259.SH) in its A-share private placement</w:t>
      </w:r>
    </w:p>
    <w:p w14:paraId="16AAA0F6" w14:textId="77777777" w:rsidR="008C7AA2" w:rsidRDefault="008C7AA2" w:rsidP="008C7AA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Represented the sponsor in connection with the A-share IPO of Amlogic (688099.SH)</w:t>
      </w:r>
    </w:p>
    <w:p w14:paraId="79362766" w14:textId="77777777" w:rsidR="008C7AA2" w:rsidRDefault="008C7AA2" w:rsidP="008C7AA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Represented Chinagreen (300970.SZ) in its A-share IPO</w:t>
      </w:r>
    </w:p>
    <w:p w14:paraId="3D6DDB4A" w14:textId="77777777" w:rsidR="008C7AA2" w:rsidRDefault="008C7AA2" w:rsidP="008C7AA2">
      <w:pPr>
        <w:pStyle w:val="af5"/>
        <w:spacing w:before="12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PUBLIC M&amp;A</w:t>
      </w:r>
    </w:p>
    <w:p w14:paraId="30462523" w14:textId="77777777" w:rsidR="008C7AA2" w:rsidRDefault="008C7AA2" w:rsidP="008C7AA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Acted as acquirer's counsel for AVICHT (600862.SH) in its acquisition project</w:t>
      </w:r>
    </w:p>
    <w:p w14:paraId="3FEB2176" w14:textId="77777777" w:rsidR="008C7AA2" w:rsidRDefault="008C7AA2" w:rsidP="008C7AA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Acted for Sec-Motor (603988.SH) in acquiring assets from a equipment manufacturer through issuing Sec-Motor shares to the manufacturer</w:t>
      </w:r>
    </w:p>
    <w:p w14:paraId="1CED2F93" w14:textId="77777777" w:rsidR="008C7AA2" w:rsidRDefault="008C7AA2" w:rsidP="008C7AA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Acted for A-Zenith (603389.SH) in acquiring assets from a furniture manufacturer through issuing A-Zenith shares to the manufacturer</w:t>
      </w:r>
    </w:p>
    <w:p w14:paraId="2DEABC2A" w14:textId="77777777" w:rsidR="008C7AA2" w:rsidRDefault="008C7AA2" w:rsidP="008C7AA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Acted as acquirer's counsel for Zhong Chang (00859.HK) in its acquisition project</w:t>
      </w:r>
    </w:p>
    <w:p w14:paraId="6A876253" w14:textId="77777777" w:rsidR="008C7AA2" w:rsidRDefault="008C7AA2" w:rsidP="008C7AA2">
      <w:pPr>
        <w:pStyle w:val="af5"/>
        <w:spacing w:before="12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EQUITY INVESTMENT AND GENERAL CORPORATE MATTERS</w:t>
      </w:r>
    </w:p>
    <w:p w14:paraId="31193464" w14:textId="77777777" w:rsidR="008C7AA2" w:rsidRDefault="008C7AA2" w:rsidP="008C7AA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Represented SAIC Capital, Longwater Capital, SHANG QI Capital, Sunic Capital, TAO Capital, and Golden Education in their investments</w:t>
      </w:r>
    </w:p>
    <w:p w14:paraId="062B6C79" w14:textId="77777777" w:rsidR="008C7AA2" w:rsidRDefault="008C7AA2" w:rsidP="008C7AA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Represented MicuRx (688373.SH) in equity financing deals</w:t>
      </w:r>
    </w:p>
    <w:p w14:paraId="002FE926" w14:textId="77777777" w:rsidR="008C7AA2" w:rsidRDefault="008C7AA2" w:rsidP="008C7AA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Provided general corporate legal service for MicuRx (688373.SH), Amlogic (688099.SH), Anjoy (603345.SH), and Leadshow (603272.SH)</w:t>
      </w:r>
    </w:p>
    <w:p w14:paraId="49AB7529" w14:textId="77777777" w:rsidR="008C7AA2" w:rsidRDefault="008C7AA2" w:rsidP="008C7AA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7AA2">
        <w:rPr>
          <w:rFonts w:ascii="等线" w:eastAsia="等线" w:hAnsi="等线"/>
          <w:b/>
          <w:sz w:val="24"/>
        </w:rPr>
        <w:t>Education</w:t>
      </w:r>
    </w:p>
    <w:p w14:paraId="5DEE71C1" w14:textId="77777777" w:rsidR="008C7AA2" w:rsidRDefault="008C7AA2" w:rsidP="008C7AA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Shanghai Jiao Tong University, J.M.</w:t>
      </w:r>
    </w:p>
    <w:p w14:paraId="53E540F2" w14:textId="77777777" w:rsidR="008C7AA2" w:rsidRDefault="008C7AA2" w:rsidP="008C7AA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7AA2">
        <w:rPr>
          <w:rFonts w:ascii="等线" w:eastAsia="等线" w:hAnsi="等线"/>
          <w:b/>
          <w:sz w:val="24"/>
        </w:rPr>
        <w:t>Professional Qualification</w:t>
      </w:r>
    </w:p>
    <w:p w14:paraId="1D30F008" w14:textId="77777777" w:rsidR="008C7AA2" w:rsidRDefault="008C7AA2" w:rsidP="008C7AA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Admitted to practice in the PRC</w:t>
      </w:r>
    </w:p>
    <w:p w14:paraId="234BA28C" w14:textId="77777777" w:rsidR="008C7AA2" w:rsidRDefault="008C7AA2" w:rsidP="008C7AA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C7AA2">
        <w:rPr>
          <w:rFonts w:ascii="等线" w:eastAsia="等线" w:hAnsi="等线"/>
          <w:b/>
          <w:sz w:val="24"/>
        </w:rPr>
        <w:t>Professional Background</w:t>
      </w:r>
    </w:p>
    <w:p w14:paraId="5567FC3C" w14:textId="27A7A93B" w:rsidR="00686369" w:rsidRPr="008C7AA2" w:rsidRDefault="008C7AA2" w:rsidP="008C7AA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C7AA2">
        <w:rPr>
          <w:rFonts w:ascii="等线" w:eastAsia="等线" w:hAnsi="Times New Roman"/>
          <w:color w:val="000000"/>
        </w:rPr>
        <w:t>Mr. Wang joined Fangda in 2022. Before joining the firm, he worked at a leading law firm in capital markets.</w:t>
      </w:r>
    </w:p>
    <w:sectPr w:rsidR="00686369" w:rsidRPr="008C7AA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0307B"/>
    <w:multiLevelType w:val="singleLevel"/>
    <w:tmpl w:val="047A3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4E040EF"/>
    <w:multiLevelType w:val="singleLevel"/>
    <w:tmpl w:val="C812E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196A89"/>
    <w:multiLevelType w:val="singleLevel"/>
    <w:tmpl w:val="03121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9FF267B"/>
    <w:multiLevelType w:val="singleLevel"/>
    <w:tmpl w:val="D4F0A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8F75CE"/>
    <w:multiLevelType w:val="singleLevel"/>
    <w:tmpl w:val="48C63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DB50B86"/>
    <w:multiLevelType w:val="singleLevel"/>
    <w:tmpl w:val="CC2651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F683F01"/>
    <w:multiLevelType w:val="singleLevel"/>
    <w:tmpl w:val="DE142E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0A2407D"/>
    <w:multiLevelType w:val="singleLevel"/>
    <w:tmpl w:val="5BFE96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23526A"/>
    <w:multiLevelType w:val="singleLevel"/>
    <w:tmpl w:val="FB8E28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9F699F"/>
    <w:multiLevelType w:val="singleLevel"/>
    <w:tmpl w:val="744892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0BB2A31"/>
    <w:multiLevelType w:val="singleLevel"/>
    <w:tmpl w:val="D8D049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1D503C1"/>
    <w:multiLevelType w:val="singleLevel"/>
    <w:tmpl w:val="24C872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35C1BEA"/>
    <w:multiLevelType w:val="singleLevel"/>
    <w:tmpl w:val="CC2651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52F376B1"/>
    <w:multiLevelType w:val="singleLevel"/>
    <w:tmpl w:val="F0D823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DB8241D"/>
    <w:multiLevelType w:val="singleLevel"/>
    <w:tmpl w:val="6EA8B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099291F"/>
    <w:multiLevelType w:val="singleLevel"/>
    <w:tmpl w:val="07127E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20B01D4"/>
    <w:multiLevelType w:val="singleLevel"/>
    <w:tmpl w:val="FBEAD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6E108B9"/>
    <w:multiLevelType w:val="singleLevel"/>
    <w:tmpl w:val="152237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86A6AF7"/>
    <w:multiLevelType w:val="singleLevel"/>
    <w:tmpl w:val="7068A7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12"/>
  </w:num>
  <w:num w:numId="4">
    <w:abstractNumId w:val="2"/>
  </w:num>
  <w:num w:numId="5">
    <w:abstractNumId w:val="7"/>
  </w:num>
  <w:num w:numId="6">
    <w:abstractNumId w:val="6"/>
  </w:num>
  <w:num w:numId="7">
    <w:abstractNumId w:val="16"/>
  </w:num>
  <w:num w:numId="8">
    <w:abstractNumId w:val="8"/>
  </w:num>
  <w:num w:numId="9">
    <w:abstractNumId w:val="9"/>
  </w:num>
  <w:num w:numId="10">
    <w:abstractNumId w:val="18"/>
  </w:num>
  <w:num w:numId="11">
    <w:abstractNumId w:val="20"/>
  </w:num>
  <w:num w:numId="12">
    <w:abstractNumId w:val="11"/>
  </w:num>
  <w:num w:numId="13">
    <w:abstractNumId w:val="1"/>
  </w:num>
  <w:num w:numId="14">
    <w:abstractNumId w:val="0"/>
  </w:num>
  <w:num w:numId="15">
    <w:abstractNumId w:val="3"/>
  </w:num>
  <w:num w:numId="16">
    <w:abstractNumId w:val="19"/>
  </w:num>
  <w:num w:numId="17">
    <w:abstractNumId w:val="17"/>
  </w:num>
  <w:num w:numId="18">
    <w:abstractNumId w:val="15"/>
  </w:num>
  <w:num w:numId="19">
    <w:abstractNumId w:val="4"/>
  </w:num>
  <w:num w:numId="20">
    <w:abstractNumId w:val="1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C7AA2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C7AA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C7AA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754F321-6846-4F4B-B907-959E551B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2026-08-04T18:03:00Z</dcterms:created>
  <dcterms:modified xsi:type="dcterms:W3CDTF">2026-08-04T18:03:00Z</dcterms:modified>
</cp:coreProperties>
</file>