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182DE3C" w:rsidR="0049405C" w:rsidRPr="00C24D79" w:rsidRDefault="004D078D" w:rsidP="004D078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D078D">
              <w:rPr>
                <w:rFonts w:ascii="等线" w:eastAsia="等线" w:hAnsi="Times New Roman"/>
                <w:b/>
                <w:color w:val="000000"/>
                <w:sz w:val="48"/>
              </w:rPr>
              <w:t>YUSONG WANG</w:t>
            </w:r>
            <w:bookmarkEnd w:id="0"/>
          </w:p>
          <w:p w14:paraId="706EB16B" w14:textId="54946B0E" w:rsidR="0049405C" w:rsidRPr="00C24D79" w:rsidRDefault="004D078D" w:rsidP="004D078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D078D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4D078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D078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CDBC7F5" w:rsidR="0049405C" w:rsidRPr="00C24D79" w:rsidRDefault="004D078D" w:rsidP="004D078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D078D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7692F3F8" w:rsidR="0049405C" w:rsidRPr="00C24D79" w:rsidRDefault="004D078D" w:rsidP="004D078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D078D">
              <w:rPr>
                <w:rFonts w:ascii="等线" w:eastAsia="等线" w:hAnsi="Times New Roman"/>
                <w:color w:val="000000"/>
              </w:rPr>
              <w:t>yusong.wang@fangdalaw.com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BD1282F" w:rsidR="0049405C" w:rsidRPr="00C24D79" w:rsidRDefault="004D078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1FF76BC" wp14:editId="216815D0">
                  <wp:extent cx="1651000" cy="2145249"/>
                  <wp:effectExtent l="0" t="0" r="6350" b="762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5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EA6557F" w:rsidR="009465FB" w:rsidRPr="00C24D79" w:rsidRDefault="004D078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D078D">
              <w:rPr>
                <w:rFonts w:ascii="等线" w:eastAsia="等线" w:hAnsi="Times New Roman"/>
                <w:color w:val="000000"/>
                <w:szCs w:val="21"/>
              </w:rPr>
              <w:t>MR. WANG SPECIALIZES IN CAPITAL MARKETS, INCLUDING PUBLIC OFFERING, M&amp;A AND RESTRUCTURING,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B6B84A2" w14:textId="77777777" w:rsidR="004D078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87C4F05" w14:textId="77777777" w:rsidR="004D078D" w:rsidRDefault="004D078D" w:rsidP="004D078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D078D">
        <w:rPr>
          <w:rFonts w:ascii="等线" w:eastAsia="等线" w:hAnsi="等线"/>
          <w:b/>
          <w:sz w:val="24"/>
        </w:rPr>
        <w:t>REPRESENTATIVE MATTERS AND CASES</w:t>
      </w:r>
    </w:p>
    <w:p w14:paraId="08D44075" w14:textId="77777777" w:rsidR="004D078D" w:rsidRDefault="004D078D" w:rsidP="004D078D">
      <w:pPr>
        <w:pStyle w:val="af5"/>
        <w:spacing w:before="120"/>
        <w:rPr>
          <w:rFonts w:ascii="等线" w:eastAsia="等线" w:hAnsi="Times New Roman"/>
          <w:color w:val="000000"/>
        </w:rPr>
      </w:pPr>
      <w:r w:rsidRPr="004D078D">
        <w:rPr>
          <w:rFonts w:ascii="等线" w:eastAsia="等线" w:hAnsi="Times New Roman"/>
          <w:color w:val="000000"/>
        </w:rPr>
        <w:t>PUBLIC OFFERING</w:t>
      </w:r>
    </w:p>
    <w:p w14:paraId="5D541219" w14:textId="77777777" w:rsidR="004D078D" w:rsidRDefault="004D078D" w:rsidP="004D078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078D">
        <w:rPr>
          <w:rFonts w:ascii="等线" w:eastAsia="等线" w:hAnsi="Times New Roman"/>
          <w:color w:val="000000"/>
        </w:rPr>
        <w:t>Represented Motorcomm (688515.SH) in its A-share IPO</w:t>
      </w:r>
    </w:p>
    <w:p w14:paraId="26E65B0B" w14:textId="77777777" w:rsidR="004D078D" w:rsidRDefault="004D078D" w:rsidP="004D078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078D">
        <w:rPr>
          <w:rFonts w:ascii="等线" w:eastAsia="等线" w:hAnsi="Times New Roman"/>
          <w:color w:val="000000"/>
        </w:rPr>
        <w:t>Represented MicuRx (688373.SH) in its A-share IPO</w:t>
      </w:r>
    </w:p>
    <w:p w14:paraId="3FA9EA30" w14:textId="77777777" w:rsidR="004D078D" w:rsidRDefault="004D078D" w:rsidP="004D078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078D">
        <w:rPr>
          <w:rFonts w:ascii="等线" w:eastAsia="等线" w:hAnsi="Times New Roman"/>
          <w:color w:val="000000"/>
        </w:rPr>
        <w:t>Represented the sponsor in connection with the A-share IPO of Intsig (688615.SH)</w:t>
      </w:r>
    </w:p>
    <w:p w14:paraId="36E167E4" w14:textId="77777777" w:rsidR="004D078D" w:rsidRDefault="004D078D" w:rsidP="004D078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078D">
        <w:rPr>
          <w:rFonts w:ascii="等线" w:eastAsia="等线" w:hAnsi="Times New Roman"/>
          <w:color w:val="000000"/>
        </w:rPr>
        <w:t>Represented the sponsor in connection with the A-share IPO of Cellwise (688325.SH)</w:t>
      </w:r>
    </w:p>
    <w:p w14:paraId="22666FB6" w14:textId="77777777" w:rsidR="004D078D" w:rsidRDefault="004D078D" w:rsidP="004D078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078D">
        <w:rPr>
          <w:rFonts w:ascii="等线" w:eastAsia="等线" w:hAnsi="Times New Roman"/>
          <w:color w:val="000000"/>
        </w:rPr>
        <w:t>Represented the sponsor in connection with the A-share IPO of NovelBeam (688677.SH)</w:t>
      </w:r>
    </w:p>
    <w:p w14:paraId="2FB709E3" w14:textId="77777777" w:rsidR="004D078D" w:rsidRDefault="004D078D" w:rsidP="004D078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078D">
        <w:rPr>
          <w:rFonts w:ascii="等线" w:eastAsia="等线" w:hAnsi="Times New Roman"/>
          <w:color w:val="000000"/>
        </w:rPr>
        <w:t>Represented AppTec (603259.SH) in its A-share private placement</w:t>
      </w:r>
    </w:p>
    <w:p w14:paraId="3D7A8073" w14:textId="77777777" w:rsidR="004D078D" w:rsidRDefault="004D078D" w:rsidP="004D078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078D">
        <w:rPr>
          <w:rFonts w:ascii="等线" w:eastAsia="等线" w:hAnsi="Times New Roman"/>
          <w:color w:val="000000"/>
        </w:rPr>
        <w:t>Represented the sponsor in connection with the A-share IPO of Amlogic (688099.SH)</w:t>
      </w:r>
    </w:p>
    <w:p w14:paraId="5363A02B" w14:textId="77777777" w:rsidR="004D078D" w:rsidRDefault="004D078D" w:rsidP="004D078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078D">
        <w:rPr>
          <w:rFonts w:ascii="等线" w:eastAsia="等线" w:hAnsi="Times New Roman"/>
          <w:color w:val="000000"/>
        </w:rPr>
        <w:t>Represented Chinagreen (300970.SZ) in its A-share IPO</w:t>
      </w:r>
    </w:p>
    <w:p w14:paraId="08815F73" w14:textId="77777777" w:rsidR="004D078D" w:rsidRDefault="004D078D" w:rsidP="004D078D">
      <w:pPr>
        <w:pStyle w:val="af5"/>
        <w:spacing w:before="120"/>
        <w:rPr>
          <w:rFonts w:ascii="等线" w:eastAsia="等线" w:hAnsi="Times New Roman"/>
          <w:color w:val="000000"/>
        </w:rPr>
      </w:pPr>
      <w:r w:rsidRPr="004D078D">
        <w:rPr>
          <w:rFonts w:ascii="等线" w:eastAsia="等线" w:hAnsi="Times New Roman"/>
          <w:color w:val="000000"/>
        </w:rPr>
        <w:t>PUBLIC M&amp;A</w:t>
      </w:r>
    </w:p>
    <w:p w14:paraId="603678F4" w14:textId="77777777" w:rsidR="004D078D" w:rsidRDefault="004D078D" w:rsidP="004D078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078D">
        <w:rPr>
          <w:rFonts w:ascii="等线" w:eastAsia="等线" w:hAnsi="Times New Roman"/>
          <w:color w:val="000000"/>
        </w:rPr>
        <w:t>Acted as acquirer's counsel for AVICHT (600862.SH) in its acquisition project</w:t>
      </w:r>
    </w:p>
    <w:p w14:paraId="1C1CAC55" w14:textId="77777777" w:rsidR="004D078D" w:rsidRDefault="004D078D" w:rsidP="004D078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078D">
        <w:rPr>
          <w:rFonts w:ascii="等线" w:eastAsia="等线" w:hAnsi="Times New Roman"/>
          <w:color w:val="000000"/>
        </w:rPr>
        <w:t>Acted for Sec-Motor (603988.SH) in acquiring assets from a equipment manufacturer through issuing Sec-Motor shares to the manufacturer</w:t>
      </w:r>
    </w:p>
    <w:p w14:paraId="29BCE30C" w14:textId="77777777" w:rsidR="004D078D" w:rsidRDefault="004D078D" w:rsidP="004D078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078D">
        <w:rPr>
          <w:rFonts w:ascii="等线" w:eastAsia="等线" w:hAnsi="Times New Roman"/>
          <w:color w:val="000000"/>
        </w:rPr>
        <w:t>Acted for A-Zenith (603389.SH) in acquiring assets from a furniture manufacturer through issuing A-Zenith shares to the manufacturer</w:t>
      </w:r>
    </w:p>
    <w:p w14:paraId="05495645" w14:textId="77777777" w:rsidR="004D078D" w:rsidRDefault="004D078D" w:rsidP="004D078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078D">
        <w:rPr>
          <w:rFonts w:ascii="等线" w:eastAsia="等线" w:hAnsi="Times New Roman"/>
          <w:color w:val="000000"/>
        </w:rPr>
        <w:t>Acted as acquirer's counsel for Zhong Chang (00859.HK) in its acquisition project</w:t>
      </w:r>
    </w:p>
    <w:p w14:paraId="4557D31C" w14:textId="77777777" w:rsidR="004D078D" w:rsidRDefault="004D078D" w:rsidP="004D078D">
      <w:pPr>
        <w:pStyle w:val="af5"/>
        <w:spacing w:before="120"/>
        <w:rPr>
          <w:rFonts w:ascii="等线" w:eastAsia="等线" w:hAnsi="Times New Roman"/>
          <w:color w:val="000000"/>
        </w:rPr>
      </w:pPr>
      <w:r w:rsidRPr="004D078D">
        <w:rPr>
          <w:rFonts w:ascii="等线" w:eastAsia="等线" w:hAnsi="Times New Roman"/>
          <w:color w:val="000000"/>
        </w:rPr>
        <w:t>EQUITY INVESTMENT AND GENERAL CORPORATE MATTERS</w:t>
      </w:r>
    </w:p>
    <w:p w14:paraId="3DE80284" w14:textId="77777777" w:rsidR="004D078D" w:rsidRDefault="004D078D" w:rsidP="004D078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078D">
        <w:rPr>
          <w:rFonts w:ascii="等线" w:eastAsia="等线" w:hAnsi="Times New Roman"/>
          <w:color w:val="000000"/>
        </w:rPr>
        <w:t>Represented SAIC Capital, Longwater Capital, SHANG QI Capital, Sunic Capital, TAO Capital, and Golden Education in their investments</w:t>
      </w:r>
    </w:p>
    <w:p w14:paraId="3C54FBA2" w14:textId="77777777" w:rsidR="004D078D" w:rsidRDefault="004D078D" w:rsidP="004D078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078D">
        <w:rPr>
          <w:rFonts w:ascii="等线" w:eastAsia="等线" w:hAnsi="Times New Roman"/>
          <w:color w:val="000000"/>
        </w:rPr>
        <w:t>Represented MicuRx (688373.SH) in equity financing deals</w:t>
      </w:r>
    </w:p>
    <w:p w14:paraId="1CC3DCE1" w14:textId="77777777" w:rsidR="004D078D" w:rsidRDefault="004D078D" w:rsidP="004D078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078D">
        <w:rPr>
          <w:rFonts w:ascii="等线" w:eastAsia="等线" w:hAnsi="Times New Roman"/>
          <w:color w:val="000000"/>
        </w:rPr>
        <w:t>Provided general corporate legal service for MicuRx (688373.SH), Amlogic (688099.SH), Anjoy (603345.SH), and Leadshow (603272.SH)</w:t>
      </w:r>
    </w:p>
    <w:p w14:paraId="10467821" w14:textId="77777777" w:rsidR="004D078D" w:rsidRDefault="004D078D" w:rsidP="004D078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D078D">
        <w:rPr>
          <w:rFonts w:ascii="等线" w:eastAsia="等线" w:hAnsi="等线"/>
          <w:b/>
          <w:sz w:val="24"/>
        </w:rPr>
        <w:t>Education</w:t>
      </w:r>
    </w:p>
    <w:p w14:paraId="1CA767DF" w14:textId="77777777" w:rsidR="004D078D" w:rsidRDefault="004D078D" w:rsidP="004D078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078D">
        <w:rPr>
          <w:rFonts w:ascii="等线" w:eastAsia="等线" w:hAnsi="Times New Roman"/>
          <w:color w:val="000000"/>
        </w:rPr>
        <w:t>Shanghai Jiao Tong University, J.M.</w:t>
      </w:r>
    </w:p>
    <w:p w14:paraId="1E93E172" w14:textId="77777777" w:rsidR="004D078D" w:rsidRDefault="004D078D" w:rsidP="004D078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D078D">
        <w:rPr>
          <w:rFonts w:ascii="等线" w:eastAsia="等线" w:hAnsi="等线"/>
          <w:b/>
          <w:sz w:val="24"/>
        </w:rPr>
        <w:t>Professional Qualification</w:t>
      </w:r>
    </w:p>
    <w:p w14:paraId="4F60BB29" w14:textId="77777777" w:rsidR="004D078D" w:rsidRDefault="004D078D" w:rsidP="004D078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078D">
        <w:rPr>
          <w:rFonts w:ascii="等线" w:eastAsia="等线" w:hAnsi="Times New Roman"/>
          <w:color w:val="000000"/>
        </w:rPr>
        <w:t>Admitted to practice in the PRC</w:t>
      </w:r>
    </w:p>
    <w:p w14:paraId="29E7B4B3" w14:textId="77777777" w:rsidR="004D078D" w:rsidRDefault="004D078D" w:rsidP="004D078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D078D">
        <w:rPr>
          <w:rFonts w:ascii="等线" w:eastAsia="等线" w:hAnsi="等线"/>
          <w:b/>
          <w:sz w:val="24"/>
        </w:rPr>
        <w:t>Professional Background</w:t>
      </w:r>
    </w:p>
    <w:p w14:paraId="5567FC3C" w14:textId="390C12E4" w:rsidR="00686369" w:rsidRPr="004D078D" w:rsidRDefault="004D078D" w:rsidP="004D078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D078D">
        <w:rPr>
          <w:rFonts w:ascii="等线" w:eastAsia="等线" w:hAnsi="Times New Roman"/>
          <w:color w:val="000000"/>
        </w:rPr>
        <w:t>Mr. Wang joined Fangda in 2022. Before joining the firm, he worked at a leading law firm in capital markets.</w:t>
      </w:r>
    </w:p>
    <w:sectPr w:rsidR="00686369" w:rsidRPr="004D078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A0BA2"/>
    <w:multiLevelType w:val="singleLevel"/>
    <w:tmpl w:val="5D6ECF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9D1BAD"/>
    <w:multiLevelType w:val="singleLevel"/>
    <w:tmpl w:val="3E7A2B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8707E37"/>
    <w:multiLevelType w:val="singleLevel"/>
    <w:tmpl w:val="DDC690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A24860"/>
    <w:multiLevelType w:val="singleLevel"/>
    <w:tmpl w:val="7B04B3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7991E8E"/>
    <w:multiLevelType w:val="singleLevel"/>
    <w:tmpl w:val="3B50F7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84D2B73"/>
    <w:multiLevelType w:val="singleLevel"/>
    <w:tmpl w:val="E00E35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6B01AF3"/>
    <w:multiLevelType w:val="singleLevel"/>
    <w:tmpl w:val="3E7A2B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8937686"/>
    <w:multiLevelType w:val="singleLevel"/>
    <w:tmpl w:val="62FA8A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1963141"/>
    <w:multiLevelType w:val="singleLevel"/>
    <w:tmpl w:val="AF5495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3A22C6B"/>
    <w:multiLevelType w:val="singleLevel"/>
    <w:tmpl w:val="96C465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D722D94"/>
    <w:multiLevelType w:val="singleLevel"/>
    <w:tmpl w:val="F62213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3213568"/>
    <w:multiLevelType w:val="singleLevel"/>
    <w:tmpl w:val="47BC43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66D27B1"/>
    <w:multiLevelType w:val="singleLevel"/>
    <w:tmpl w:val="B6F8FF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69D5C50"/>
    <w:multiLevelType w:val="singleLevel"/>
    <w:tmpl w:val="617E7A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A520D54"/>
    <w:multiLevelType w:val="singleLevel"/>
    <w:tmpl w:val="9A4E52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AD95FAD"/>
    <w:multiLevelType w:val="singleLevel"/>
    <w:tmpl w:val="24AAE6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E586D2E"/>
    <w:multiLevelType w:val="singleLevel"/>
    <w:tmpl w:val="5DAAD8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F7C4158"/>
    <w:multiLevelType w:val="singleLevel"/>
    <w:tmpl w:val="B1AC8F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92128E9"/>
    <w:multiLevelType w:val="singleLevel"/>
    <w:tmpl w:val="CD5027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15"/>
  </w:num>
  <w:num w:numId="5">
    <w:abstractNumId w:val="17"/>
  </w:num>
  <w:num w:numId="6">
    <w:abstractNumId w:val="2"/>
  </w:num>
  <w:num w:numId="7">
    <w:abstractNumId w:val="16"/>
  </w:num>
  <w:num w:numId="8">
    <w:abstractNumId w:val="14"/>
  </w:num>
  <w:num w:numId="9">
    <w:abstractNumId w:val="3"/>
  </w:num>
  <w:num w:numId="10">
    <w:abstractNumId w:val="13"/>
  </w:num>
  <w:num w:numId="11">
    <w:abstractNumId w:val="12"/>
  </w:num>
  <w:num w:numId="12">
    <w:abstractNumId w:val="5"/>
  </w:num>
  <w:num w:numId="13">
    <w:abstractNumId w:val="11"/>
  </w:num>
  <w:num w:numId="14">
    <w:abstractNumId w:val="0"/>
  </w:num>
  <w:num w:numId="15">
    <w:abstractNumId w:val="18"/>
  </w:num>
  <w:num w:numId="16">
    <w:abstractNumId w:val="9"/>
  </w:num>
  <w:num w:numId="17">
    <w:abstractNumId w:val="19"/>
  </w:num>
  <w:num w:numId="18">
    <w:abstractNumId w:val="20"/>
  </w:num>
  <w:num w:numId="19">
    <w:abstractNumId w:val="6"/>
  </w:num>
  <w:num w:numId="20">
    <w:abstractNumId w:val="8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078D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D078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D078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D7CBD75-E70C-4F4B-9AA7-A8B3ACEAD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2026-06-02T23:29:00Z</dcterms:created>
  <dcterms:modified xsi:type="dcterms:W3CDTF">2026-06-02T23:29:00Z</dcterms:modified>
</cp:coreProperties>
</file>