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F7134A" w:rsidR="0049405C" w:rsidRPr="00C24D79" w:rsidRDefault="00AE08E5" w:rsidP="00AE08E5">
            <w:pPr>
              <w:spacing w:line="720" w:lineRule="auto"/>
              <w:rPr>
                <w:rFonts w:eastAsiaTheme="minorHAnsi"/>
                <w:color w:val="545551"/>
              </w:rPr>
            </w:pPr>
            <w:bookmarkStart w:id="0" w:name="xingming"/>
            <w:bookmarkStart w:id="1" w:name="_GoBack"/>
            <w:bookmarkEnd w:id="1"/>
            <w:r w:rsidRPr="00AE08E5">
              <w:rPr>
                <w:rFonts w:ascii="等线" w:eastAsia="等线" w:hAnsi="Times New Roman"/>
                <w:b/>
                <w:color w:val="000000"/>
                <w:sz w:val="48"/>
              </w:rPr>
              <w:t>JIE LI</w:t>
            </w:r>
            <w:bookmarkEnd w:id="0"/>
          </w:p>
          <w:p w14:paraId="066DB89E" w14:textId="77777777" w:rsidR="00AE08E5" w:rsidRPr="00AE08E5" w:rsidRDefault="00AE08E5" w:rsidP="00AE08E5">
            <w:pPr>
              <w:spacing w:line="360" w:lineRule="auto"/>
              <w:rPr>
                <w:rFonts w:ascii="等线" w:eastAsia="等线" w:hAnsi="Times New Roman"/>
                <w:b/>
                <w:bCs/>
                <w:color w:val="000000"/>
              </w:rPr>
            </w:pPr>
            <w:bookmarkStart w:id="2" w:name="didian"/>
            <w:r w:rsidRPr="00AE08E5">
              <w:rPr>
                <w:rFonts w:ascii="等线" w:eastAsia="等线" w:hAnsi="Times New Roman"/>
                <w:b/>
                <w:bCs/>
                <w:color w:val="000000"/>
              </w:rPr>
              <w:t>Beijing</w:t>
            </w:r>
          </w:p>
          <w:p w14:paraId="706EB16B" w14:textId="3A5047DC" w:rsidR="0049405C" w:rsidRPr="00C24D79" w:rsidRDefault="00AE08E5" w:rsidP="00AE08E5">
            <w:pPr>
              <w:spacing w:line="360" w:lineRule="auto"/>
              <w:rPr>
                <w:rFonts w:eastAsiaTheme="minorHAnsi"/>
                <w:b/>
                <w:bCs/>
                <w:color w:val="545551"/>
              </w:rPr>
            </w:pPr>
            <w:r w:rsidRPr="00AE08E5">
              <w:rPr>
                <w:rFonts w:ascii="等线" w:eastAsia="等线" w:hAnsi="Times New Roman"/>
                <w:b/>
                <w:bCs/>
                <w:color w:val="000000"/>
              </w:rPr>
              <w:t>Partner</w:t>
            </w:r>
            <w:r w:rsidRPr="00AE08E5">
              <w:rPr>
                <w:rFonts w:ascii="等线" w:eastAsia="等线" w:hAnsi="Times New Roman"/>
                <w:b/>
                <w:bCs/>
                <w:color w:val="000000"/>
              </w:rPr>
              <w:t>·</w:t>
            </w:r>
            <w:r w:rsidRPr="00AE08E5">
              <w:rPr>
                <w:rFonts w:ascii="等线" w:eastAsia="等线" w:hAnsi="Times New Roman"/>
                <w:b/>
                <w:bCs/>
                <w:color w:val="000000"/>
              </w:rPr>
              <w:t>Singapore</w:t>
            </w:r>
            <w:bookmarkEnd w:id="2"/>
          </w:p>
          <w:p w14:paraId="6199424A" w14:textId="34E1A12F" w:rsidR="0049405C" w:rsidRPr="00C24D79" w:rsidRDefault="00AE08E5" w:rsidP="00AE08E5">
            <w:pPr>
              <w:spacing w:line="360" w:lineRule="auto"/>
              <w:rPr>
                <w:rFonts w:eastAsiaTheme="minorHAnsi"/>
                <w:color w:val="545551"/>
              </w:rPr>
            </w:pPr>
            <w:bookmarkStart w:id="3" w:name="dianhua"/>
            <w:r w:rsidRPr="00AE08E5">
              <w:rPr>
                <w:rFonts w:ascii="等线" w:eastAsia="等线" w:hAnsi="Times New Roman"/>
                <w:color w:val="000000"/>
              </w:rPr>
              <w:t xml:space="preserve">+86 10 5769 7436 </w:t>
            </w:r>
            <w:bookmarkEnd w:id="3"/>
          </w:p>
          <w:p w14:paraId="4F910ACA" w14:textId="4EF14EE2" w:rsidR="0049405C" w:rsidRPr="00C24D79" w:rsidRDefault="00AE08E5" w:rsidP="00AE08E5">
            <w:pPr>
              <w:spacing w:line="360" w:lineRule="auto"/>
              <w:rPr>
                <w:rFonts w:eastAsiaTheme="minorHAnsi"/>
                <w:color w:val="000000"/>
              </w:rPr>
            </w:pPr>
            <w:bookmarkStart w:id="4" w:name="youxiang"/>
            <w:r w:rsidRPr="00AE08E5">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8961AB" w:rsidR="0049405C" w:rsidRPr="00C24D79" w:rsidRDefault="00AE08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74B503" wp14:editId="6193424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6C0088" w:rsidR="009465FB" w:rsidRPr="00C24D79" w:rsidRDefault="00AE08E5" w:rsidP="007177F3">
            <w:pPr>
              <w:rPr>
                <w:rFonts w:eastAsiaTheme="minorHAnsi"/>
                <w:color w:val="000000"/>
                <w:szCs w:val="21"/>
              </w:rPr>
            </w:pPr>
            <w:bookmarkStart w:id="6" w:name="zhiyelingyu"/>
            <w:r w:rsidRPr="00AE08E5">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E80E64" w14:textId="77777777" w:rsidR="00AE08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964A7"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REPRESENTATIVE MATTERS AND CASES</w:t>
      </w:r>
    </w:p>
    <w:p w14:paraId="4249AC6E" w14:textId="77777777" w:rsidR="00AE08E5" w:rsidRDefault="00AE08E5" w:rsidP="00AE08E5">
      <w:pPr>
        <w:pStyle w:val="af5"/>
        <w:spacing w:before="120"/>
        <w:rPr>
          <w:rFonts w:ascii="等线" w:eastAsia="等线" w:hAnsi="Times New Roman"/>
          <w:color w:val="000000"/>
        </w:rPr>
      </w:pPr>
    </w:p>
    <w:p w14:paraId="276D8D71" w14:textId="77777777" w:rsidR="00AE08E5" w:rsidRDefault="00AE08E5" w:rsidP="00AE08E5">
      <w:pPr>
        <w:pStyle w:val="af5"/>
        <w:numPr>
          <w:ilvl w:val="0"/>
          <w:numId w:val="4"/>
        </w:numPr>
        <w:spacing w:before="120"/>
        <w:ind w:left="690" w:hanging="240"/>
        <w:rPr>
          <w:rFonts w:ascii="等线" w:eastAsia="等线" w:hAnsi="Times New Roman"/>
          <w:color w:val="000000"/>
        </w:rPr>
      </w:pPr>
      <w:r w:rsidRPr="00AE08E5">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0BB58257" w14:textId="77777777" w:rsidR="00AE08E5" w:rsidRDefault="00AE08E5" w:rsidP="00AE08E5">
      <w:pPr>
        <w:pStyle w:val="af5"/>
        <w:numPr>
          <w:ilvl w:val="0"/>
          <w:numId w:val="5"/>
        </w:numPr>
        <w:spacing w:before="120"/>
        <w:ind w:left="690" w:hanging="240"/>
        <w:rPr>
          <w:rFonts w:ascii="等线" w:eastAsia="等线" w:hAnsi="Times New Roman"/>
          <w:color w:val="000000"/>
        </w:rPr>
      </w:pPr>
      <w:r w:rsidRPr="00AE08E5">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1B137A0E" w14:textId="77777777" w:rsidR="00AE08E5" w:rsidRDefault="00AE08E5" w:rsidP="00AE08E5">
      <w:pPr>
        <w:pStyle w:val="af5"/>
        <w:numPr>
          <w:ilvl w:val="0"/>
          <w:numId w:val="6"/>
        </w:numPr>
        <w:spacing w:before="120"/>
        <w:ind w:left="690" w:hanging="240"/>
        <w:rPr>
          <w:rFonts w:ascii="等线" w:eastAsia="等线" w:hAnsi="Times New Roman"/>
          <w:color w:val="000000"/>
        </w:rPr>
      </w:pPr>
      <w:r w:rsidRPr="00AE08E5">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 and transaction documentation</w:t>
      </w:r>
    </w:p>
    <w:p w14:paraId="58E3F569" w14:textId="77777777" w:rsidR="00AE08E5" w:rsidRDefault="00AE08E5" w:rsidP="00AE08E5">
      <w:pPr>
        <w:pStyle w:val="af5"/>
        <w:numPr>
          <w:ilvl w:val="0"/>
          <w:numId w:val="7"/>
        </w:numPr>
        <w:spacing w:before="120"/>
        <w:ind w:left="690" w:hanging="240"/>
        <w:rPr>
          <w:rFonts w:ascii="等线" w:eastAsia="等线" w:hAnsi="Times New Roman"/>
          <w:color w:val="000000"/>
        </w:rPr>
      </w:pPr>
      <w:r w:rsidRPr="00AE08E5">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7CDA72D8" w14:textId="77777777" w:rsidR="00AE08E5" w:rsidRDefault="00AE08E5" w:rsidP="00AE08E5">
      <w:pPr>
        <w:pStyle w:val="af5"/>
        <w:numPr>
          <w:ilvl w:val="0"/>
          <w:numId w:val="8"/>
        </w:numPr>
        <w:spacing w:before="120"/>
        <w:ind w:left="690" w:hanging="240"/>
        <w:rPr>
          <w:rFonts w:ascii="等线" w:eastAsia="等线" w:hAnsi="Times New Roman"/>
          <w:color w:val="000000"/>
        </w:rPr>
      </w:pPr>
      <w:r w:rsidRPr="00AE08E5">
        <w:rPr>
          <w:rFonts w:ascii="等线" w:eastAsia="等线" w:hAnsi="Times New Roman"/>
          <w:color w:val="000000"/>
        </w:rPr>
        <w:t>Matters completed before joining Fangda</w:t>
      </w:r>
    </w:p>
    <w:p w14:paraId="2FBFBDB0"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Education</w:t>
      </w:r>
    </w:p>
    <w:p w14:paraId="2DE1BB15" w14:textId="77777777" w:rsidR="00AE08E5" w:rsidRDefault="00AE08E5" w:rsidP="00AE08E5">
      <w:pPr>
        <w:pStyle w:val="af5"/>
        <w:numPr>
          <w:ilvl w:val="0"/>
          <w:numId w:val="9"/>
        </w:numPr>
        <w:spacing w:before="120"/>
        <w:ind w:left="690" w:hanging="240"/>
        <w:rPr>
          <w:rFonts w:ascii="等线" w:eastAsia="等线" w:hAnsi="Times New Roman"/>
          <w:color w:val="000000"/>
        </w:rPr>
      </w:pPr>
      <w:r w:rsidRPr="00AE08E5">
        <w:rPr>
          <w:rFonts w:ascii="等线" w:eastAsia="等线" w:hAnsi="Times New Roman"/>
          <w:color w:val="000000"/>
        </w:rPr>
        <w:t>Columbia Law School, LL.M. (2015)</w:t>
      </w:r>
    </w:p>
    <w:p w14:paraId="7FCBE32C" w14:textId="77777777" w:rsidR="00AE08E5" w:rsidRDefault="00AE08E5" w:rsidP="00AE08E5">
      <w:pPr>
        <w:pStyle w:val="af5"/>
        <w:numPr>
          <w:ilvl w:val="0"/>
          <w:numId w:val="10"/>
        </w:numPr>
        <w:spacing w:before="120"/>
        <w:ind w:left="690" w:hanging="240"/>
        <w:rPr>
          <w:rFonts w:ascii="等线" w:eastAsia="等线" w:hAnsi="Times New Roman"/>
          <w:color w:val="000000"/>
        </w:rPr>
      </w:pPr>
      <w:r w:rsidRPr="00AE08E5">
        <w:rPr>
          <w:rFonts w:ascii="等线" w:eastAsia="等线" w:hAnsi="Times New Roman"/>
          <w:color w:val="000000"/>
        </w:rPr>
        <w:t>Peking University (PKU) Law School, LL.M. (2011)</w:t>
      </w:r>
    </w:p>
    <w:p w14:paraId="6E8D656B" w14:textId="77777777" w:rsidR="00AE08E5" w:rsidRDefault="00AE08E5" w:rsidP="00AE08E5">
      <w:pPr>
        <w:pStyle w:val="af5"/>
        <w:numPr>
          <w:ilvl w:val="0"/>
          <w:numId w:val="11"/>
        </w:numPr>
        <w:spacing w:before="120"/>
        <w:ind w:left="690" w:hanging="240"/>
        <w:rPr>
          <w:rFonts w:ascii="等线" w:eastAsia="等线" w:hAnsi="Times New Roman"/>
          <w:color w:val="000000"/>
        </w:rPr>
      </w:pPr>
      <w:r w:rsidRPr="00AE08E5">
        <w:rPr>
          <w:rFonts w:ascii="等线" w:eastAsia="等线" w:hAnsi="Times New Roman"/>
          <w:color w:val="000000"/>
        </w:rPr>
        <w:t>Peking University (PKU) Law School, LL.B. (2009)</w:t>
      </w:r>
    </w:p>
    <w:p w14:paraId="76952AE9"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Professional Qualification</w:t>
      </w:r>
    </w:p>
    <w:p w14:paraId="2963D228" w14:textId="77777777" w:rsidR="00AE08E5" w:rsidRDefault="00AE08E5" w:rsidP="00AE08E5">
      <w:pPr>
        <w:pStyle w:val="af5"/>
        <w:numPr>
          <w:ilvl w:val="0"/>
          <w:numId w:val="12"/>
        </w:numPr>
        <w:spacing w:before="120"/>
        <w:ind w:left="690" w:hanging="240"/>
        <w:rPr>
          <w:rFonts w:ascii="等线" w:eastAsia="等线" w:hAnsi="Times New Roman"/>
          <w:color w:val="000000"/>
        </w:rPr>
      </w:pPr>
      <w:r w:rsidRPr="00AE08E5">
        <w:rPr>
          <w:rFonts w:ascii="等线" w:eastAsia="等线" w:hAnsi="Times New Roman"/>
          <w:color w:val="000000"/>
        </w:rPr>
        <w:t>Qualified to practice in the PRC</w:t>
      </w:r>
    </w:p>
    <w:p w14:paraId="05570A4E" w14:textId="77777777" w:rsidR="00AE08E5" w:rsidRDefault="00AE08E5" w:rsidP="00AE08E5">
      <w:pPr>
        <w:pStyle w:val="af5"/>
        <w:numPr>
          <w:ilvl w:val="0"/>
          <w:numId w:val="13"/>
        </w:numPr>
        <w:spacing w:before="120"/>
        <w:ind w:left="690" w:hanging="240"/>
        <w:rPr>
          <w:rFonts w:ascii="等线" w:eastAsia="等线" w:hAnsi="Times New Roman"/>
          <w:color w:val="000000"/>
        </w:rPr>
      </w:pPr>
      <w:r w:rsidRPr="00AE08E5">
        <w:rPr>
          <w:rFonts w:ascii="等线" w:eastAsia="等线" w:hAnsi="Times New Roman"/>
          <w:color w:val="000000"/>
        </w:rPr>
        <w:t>Admitted to practice in New York</w:t>
      </w:r>
    </w:p>
    <w:p w14:paraId="55D87875" w14:textId="77777777" w:rsidR="00AE08E5" w:rsidRDefault="00AE08E5" w:rsidP="00AE08E5">
      <w:pPr>
        <w:pStyle w:val="af5"/>
        <w:numPr>
          <w:ilvl w:val="0"/>
          <w:numId w:val="14"/>
        </w:numPr>
        <w:spacing w:before="120"/>
        <w:ind w:left="690" w:hanging="240"/>
        <w:rPr>
          <w:rFonts w:ascii="等线" w:eastAsia="等线" w:hAnsi="Times New Roman"/>
          <w:color w:val="000000"/>
        </w:rPr>
      </w:pPr>
      <w:r w:rsidRPr="00AE08E5">
        <w:rPr>
          <w:rFonts w:ascii="等线" w:eastAsia="等线" w:hAnsi="Times New Roman"/>
          <w:color w:val="000000"/>
        </w:rPr>
        <w:t>Admitted to practice in England and Wales</w:t>
      </w:r>
    </w:p>
    <w:p w14:paraId="45EF42A0"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Work Language</w:t>
      </w:r>
    </w:p>
    <w:p w14:paraId="7950F78E" w14:textId="77777777" w:rsidR="00AE08E5" w:rsidRDefault="00AE08E5" w:rsidP="00AE08E5">
      <w:pPr>
        <w:pStyle w:val="af5"/>
        <w:numPr>
          <w:ilvl w:val="0"/>
          <w:numId w:val="15"/>
        </w:numPr>
        <w:spacing w:before="120"/>
        <w:ind w:left="690" w:hanging="240"/>
        <w:rPr>
          <w:rFonts w:ascii="等线" w:eastAsia="等线" w:hAnsi="Times New Roman"/>
          <w:color w:val="000000"/>
        </w:rPr>
      </w:pPr>
      <w:r w:rsidRPr="00AE08E5">
        <w:rPr>
          <w:rFonts w:ascii="等线" w:eastAsia="等线" w:hAnsi="Times New Roman"/>
          <w:color w:val="000000"/>
        </w:rPr>
        <w:t>Chinese (native)</w:t>
      </w:r>
    </w:p>
    <w:p w14:paraId="1DB08504" w14:textId="77777777" w:rsidR="00AE08E5" w:rsidRDefault="00AE08E5" w:rsidP="00AE08E5">
      <w:pPr>
        <w:pStyle w:val="af5"/>
        <w:numPr>
          <w:ilvl w:val="0"/>
          <w:numId w:val="16"/>
        </w:numPr>
        <w:spacing w:before="120"/>
        <w:ind w:left="690" w:hanging="240"/>
        <w:rPr>
          <w:rFonts w:ascii="等线" w:eastAsia="等线" w:hAnsi="Times New Roman"/>
          <w:color w:val="000000"/>
        </w:rPr>
      </w:pPr>
      <w:r w:rsidRPr="00AE08E5">
        <w:rPr>
          <w:rFonts w:ascii="等线" w:eastAsia="等线" w:hAnsi="Times New Roman"/>
          <w:color w:val="000000"/>
        </w:rPr>
        <w:t>English (fluent)</w:t>
      </w:r>
    </w:p>
    <w:p w14:paraId="44D9B017"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Professional Background</w:t>
      </w:r>
    </w:p>
    <w:p w14:paraId="4AA3F12A" w14:textId="77777777" w:rsidR="00AE08E5" w:rsidRDefault="00AE08E5" w:rsidP="00AE08E5">
      <w:pPr>
        <w:pStyle w:val="af5"/>
        <w:numPr>
          <w:ilvl w:val="0"/>
          <w:numId w:val="17"/>
        </w:numPr>
        <w:spacing w:before="120"/>
        <w:ind w:left="690" w:hanging="240"/>
        <w:rPr>
          <w:rFonts w:ascii="等线" w:eastAsia="等线" w:hAnsi="Times New Roman"/>
          <w:color w:val="000000"/>
        </w:rPr>
      </w:pPr>
      <w:r w:rsidRPr="00AE08E5">
        <w:rPr>
          <w:rFonts w:ascii="等线" w:eastAsia="等线" w:hAnsi="Times New Roman"/>
          <w:color w:val="000000"/>
        </w:rPr>
        <w:t>Jie joined Fangda in 2024. Before joining the firm, she worked at an international law firm, with a focus on energy, natural resources and infrastructure projects.</w:t>
      </w:r>
    </w:p>
    <w:p w14:paraId="31083B98"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OTHER INFORMATION</w:t>
      </w:r>
    </w:p>
    <w:p w14:paraId="5294DB12"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Publications</w:t>
      </w:r>
    </w:p>
    <w:p w14:paraId="615558A6" w14:textId="77777777" w:rsidR="00AE08E5" w:rsidRDefault="00AE08E5" w:rsidP="00AE08E5">
      <w:pPr>
        <w:pStyle w:val="af5"/>
        <w:numPr>
          <w:ilvl w:val="0"/>
          <w:numId w:val="18"/>
        </w:numPr>
        <w:spacing w:before="120"/>
        <w:ind w:left="690" w:hanging="240"/>
        <w:rPr>
          <w:rFonts w:ascii="等线" w:eastAsia="等线" w:hAnsi="Times New Roman"/>
          <w:color w:val="000000"/>
        </w:rPr>
      </w:pPr>
      <w:r w:rsidRPr="00AE08E5">
        <w:rPr>
          <w:rFonts w:ascii="等线" w:eastAsia="等线" w:hAnsi="Times New Roman"/>
          <w:color w:val="000000"/>
        </w:rPr>
        <w:t>"Risks in Chinese Companies</w:t>
      </w:r>
      <w:r w:rsidRPr="00AE08E5">
        <w:rPr>
          <w:rFonts w:ascii="等线" w:eastAsia="等线" w:hAnsi="Times New Roman"/>
          <w:color w:val="000000"/>
        </w:rPr>
        <w:t>’</w:t>
      </w:r>
      <w:r w:rsidRPr="00AE08E5">
        <w:rPr>
          <w:rFonts w:ascii="等线" w:eastAsia="等线" w:hAnsi="Times New Roman"/>
          <w:color w:val="000000"/>
        </w:rPr>
        <w:t xml:space="preserve"> Outbound Licensing of Renewable Technologies and Mitigations", Southern Energy Observation, June 2024 </w:t>
      </w:r>
    </w:p>
    <w:p w14:paraId="0273C7EA" w14:textId="77777777" w:rsidR="00AE08E5" w:rsidRDefault="00AE08E5" w:rsidP="00AE08E5">
      <w:pPr>
        <w:pStyle w:val="af5"/>
        <w:numPr>
          <w:ilvl w:val="0"/>
          <w:numId w:val="19"/>
        </w:numPr>
        <w:spacing w:before="120"/>
        <w:ind w:left="690" w:hanging="240"/>
        <w:rPr>
          <w:rFonts w:ascii="等线" w:eastAsia="等线" w:hAnsi="Times New Roman"/>
          <w:color w:val="000000"/>
        </w:rPr>
      </w:pPr>
      <w:r w:rsidRPr="00AE08E5">
        <w:rPr>
          <w:rFonts w:ascii="等线" w:eastAsia="等线" w:hAnsi="Times New Roman"/>
          <w:color w:val="000000"/>
        </w:rPr>
        <w:t xml:space="preserve">"Force Majeure in the Oil and Gas Industry: A Comparative Study", Energy Observer, February 2020 </w:t>
      </w:r>
    </w:p>
    <w:p w14:paraId="73ED892D" w14:textId="77777777" w:rsidR="00AE08E5" w:rsidRDefault="00AE08E5" w:rsidP="00AE08E5">
      <w:pPr>
        <w:pStyle w:val="af5"/>
        <w:numPr>
          <w:ilvl w:val="0"/>
          <w:numId w:val="20"/>
        </w:numPr>
        <w:spacing w:before="120"/>
        <w:ind w:left="690" w:hanging="240"/>
        <w:rPr>
          <w:rFonts w:ascii="等线" w:eastAsia="等线" w:hAnsi="Times New Roman"/>
          <w:color w:val="000000"/>
        </w:rPr>
      </w:pPr>
      <w:r w:rsidRPr="00AE08E5">
        <w:rPr>
          <w:rFonts w:ascii="等线" w:eastAsia="等线" w:hAnsi="Times New Roman"/>
          <w:color w:val="000000"/>
        </w:rPr>
        <w:t>"China</w:t>
      </w:r>
      <w:r w:rsidRPr="00AE08E5">
        <w:rPr>
          <w:rFonts w:ascii="等线" w:eastAsia="等线" w:hAnsi="Times New Roman"/>
          <w:color w:val="000000"/>
        </w:rPr>
        <w:t>’</w:t>
      </w:r>
      <w:r w:rsidRPr="00AE08E5">
        <w:rPr>
          <w:rFonts w:ascii="等线" w:eastAsia="等线" w:hAnsi="Times New Roman"/>
          <w:color w:val="000000"/>
        </w:rPr>
        <w:t xml:space="preserve">s New Regulatory Regimes for Foreign Investment in Upstream Oil and Gas", Energy Observer, August 2019 </w:t>
      </w:r>
    </w:p>
    <w:p w14:paraId="492BE6B7" w14:textId="77777777" w:rsidR="00AE08E5" w:rsidRDefault="00AE08E5" w:rsidP="00AE08E5">
      <w:pPr>
        <w:pStyle w:val="af5"/>
        <w:numPr>
          <w:ilvl w:val="0"/>
          <w:numId w:val="21"/>
        </w:numPr>
        <w:spacing w:before="120"/>
        <w:ind w:left="690" w:hanging="240"/>
        <w:rPr>
          <w:rFonts w:ascii="等线" w:eastAsia="等线" w:hAnsi="Times New Roman"/>
          <w:color w:val="000000"/>
        </w:rPr>
      </w:pPr>
      <w:r w:rsidRPr="00AE08E5">
        <w:rPr>
          <w:rFonts w:ascii="等线" w:eastAsia="等线" w:hAnsi="Times New Roman"/>
          <w:color w:val="000000"/>
        </w:rPr>
        <w:t>"Challenges Facing Chinese SOEs</w:t>
      </w:r>
      <w:r w:rsidRPr="00AE08E5">
        <w:rPr>
          <w:rFonts w:ascii="等线" w:eastAsia="等线" w:hAnsi="Times New Roman"/>
          <w:color w:val="000000"/>
        </w:rPr>
        <w:t>’</w:t>
      </w:r>
      <w:r w:rsidRPr="00AE08E5">
        <w:rPr>
          <w:rFonts w:ascii="等线" w:eastAsia="等线" w:hAnsi="Times New Roman"/>
          <w:color w:val="000000"/>
        </w:rPr>
        <w:t xml:space="preserve"> Investment in the EU", China Forex, December 2018 </w:t>
      </w:r>
    </w:p>
    <w:p w14:paraId="6EF5446D" w14:textId="77777777" w:rsidR="00AE08E5" w:rsidRDefault="00AE08E5" w:rsidP="00AE08E5">
      <w:pPr>
        <w:pStyle w:val="af5"/>
        <w:numPr>
          <w:ilvl w:val="0"/>
          <w:numId w:val="22"/>
        </w:numPr>
        <w:spacing w:before="120"/>
        <w:ind w:left="690" w:hanging="240"/>
        <w:rPr>
          <w:rFonts w:ascii="等线" w:eastAsia="等线" w:hAnsi="Times New Roman"/>
          <w:color w:val="000000"/>
        </w:rPr>
      </w:pPr>
      <w:r w:rsidRPr="00AE08E5">
        <w:rPr>
          <w:rFonts w:ascii="等线" w:eastAsia="等线" w:hAnsi="Times New Roman"/>
          <w:color w:val="000000"/>
        </w:rPr>
        <w:t xml:space="preserve">"Host Country Government in Belt &amp; Road Projects: Roles, Risks and Mitigation", CHINCA Magazine, July and August 2018 </w:t>
      </w:r>
    </w:p>
    <w:p w14:paraId="58825095" w14:textId="77777777" w:rsidR="00AE08E5" w:rsidRDefault="00AE08E5" w:rsidP="00AE08E5">
      <w:pPr>
        <w:pStyle w:val="af5"/>
        <w:numPr>
          <w:ilvl w:val="0"/>
          <w:numId w:val="23"/>
        </w:numPr>
        <w:spacing w:before="120"/>
        <w:ind w:left="690" w:hanging="240"/>
        <w:rPr>
          <w:rFonts w:ascii="等线" w:eastAsia="等线" w:hAnsi="Times New Roman"/>
          <w:color w:val="000000"/>
        </w:rPr>
      </w:pPr>
      <w:r w:rsidRPr="00AE08E5">
        <w:rPr>
          <w:rFonts w:ascii="等线" w:eastAsia="等线" w:hAnsi="Times New Roman"/>
          <w:color w:val="000000"/>
        </w:rPr>
        <w:t xml:space="preserve">"Environmental Risks in Major Projects in China: Overview", Practical Law </w:t>
      </w:r>
      <w:r w:rsidRPr="00AE08E5">
        <w:rPr>
          <w:rFonts w:ascii="等线" w:eastAsia="等线" w:hAnsi="Times New Roman"/>
          <w:color w:val="000000"/>
        </w:rPr>
        <w:t>–</w:t>
      </w:r>
      <w:r w:rsidRPr="00AE08E5">
        <w:rPr>
          <w:rFonts w:ascii="等线" w:eastAsia="等线" w:hAnsi="Times New Roman"/>
          <w:color w:val="000000"/>
        </w:rPr>
        <w:t xml:space="preserve"> Thomson Reuters, 2016/17 </w:t>
      </w:r>
    </w:p>
    <w:p w14:paraId="70DF3ABF" w14:textId="77777777" w:rsidR="00AE08E5" w:rsidRDefault="00AE08E5" w:rsidP="00AE08E5">
      <w:pPr>
        <w:pStyle w:val="af5"/>
        <w:numPr>
          <w:ilvl w:val="0"/>
          <w:numId w:val="24"/>
        </w:numPr>
        <w:spacing w:before="120"/>
        <w:ind w:left="690" w:hanging="240"/>
        <w:rPr>
          <w:rFonts w:ascii="等线" w:eastAsia="等线" w:hAnsi="Times New Roman"/>
          <w:color w:val="000000"/>
        </w:rPr>
      </w:pPr>
      <w:r w:rsidRPr="00AE08E5">
        <w:rPr>
          <w:rFonts w:ascii="等线" w:eastAsia="等线" w:hAnsi="Times New Roman"/>
          <w:color w:val="000000"/>
        </w:rPr>
        <w:t>"World Bank</w:t>
      </w:r>
      <w:r w:rsidRPr="00AE08E5">
        <w:rPr>
          <w:rFonts w:ascii="等线" w:eastAsia="等线" w:hAnsi="Times New Roman"/>
          <w:color w:val="000000"/>
        </w:rPr>
        <w:t>’</w:t>
      </w:r>
      <w:r w:rsidRPr="00AE08E5">
        <w:rPr>
          <w:rFonts w:ascii="等线" w:eastAsia="等线" w:hAnsi="Times New Roman"/>
          <w:color w:val="000000"/>
        </w:rPr>
        <w:t xml:space="preserve">s Benchmarking Infrastructure Development (f.k.a., Benchmarking PPP Procurement) (2017 to 2020)" (China section) </w:t>
      </w:r>
    </w:p>
    <w:p w14:paraId="6C84F344" w14:textId="77777777" w:rsidR="00AE08E5" w:rsidRDefault="00AE08E5" w:rsidP="00AE08E5">
      <w:pPr>
        <w:pStyle w:val="af5"/>
        <w:spacing w:after="0" w:line="480" w:lineRule="auto"/>
        <w:rPr>
          <w:rFonts w:ascii="等线" w:eastAsia="等线" w:hAnsi="等线"/>
          <w:b/>
          <w:sz w:val="24"/>
        </w:rPr>
      </w:pPr>
      <w:r w:rsidRPr="00AE08E5">
        <w:rPr>
          <w:rFonts w:ascii="等线" w:eastAsia="等线" w:hAnsi="等线"/>
          <w:b/>
          <w:sz w:val="24"/>
        </w:rPr>
        <w:t>Honors and Awards</w:t>
      </w:r>
    </w:p>
    <w:p w14:paraId="5567FC3C" w14:textId="07B78862" w:rsidR="00686369" w:rsidRPr="00AE08E5" w:rsidRDefault="00AE08E5" w:rsidP="00AE08E5">
      <w:pPr>
        <w:pStyle w:val="af5"/>
        <w:numPr>
          <w:ilvl w:val="0"/>
          <w:numId w:val="25"/>
        </w:numPr>
        <w:spacing w:before="120"/>
        <w:ind w:left="690" w:hanging="240"/>
        <w:rPr>
          <w:rFonts w:ascii="等线" w:eastAsia="等线" w:hAnsi="Times New Roman"/>
          <w:color w:val="000000"/>
        </w:rPr>
      </w:pPr>
      <w:r w:rsidRPr="00AE08E5">
        <w:rPr>
          <w:rFonts w:ascii="等线" w:eastAsia="等线" w:hAnsi="Times New Roman"/>
          <w:color w:val="000000"/>
        </w:rPr>
        <w:t xml:space="preserve">Rising star, Legal 500 </w:t>
      </w:r>
      <w:r w:rsidRPr="00AE08E5">
        <w:rPr>
          <w:rFonts w:ascii="等线" w:eastAsia="等线" w:hAnsi="Times New Roman"/>
          <w:color w:val="000000"/>
        </w:rPr>
        <w:t>–</w:t>
      </w:r>
      <w:r w:rsidRPr="00AE08E5">
        <w:rPr>
          <w:rFonts w:ascii="等线" w:eastAsia="等线" w:hAnsi="Times New Roman"/>
          <w:color w:val="000000"/>
        </w:rPr>
        <w:t xml:space="preserve"> Projects and Energy: China </w:t>
      </w:r>
    </w:p>
    <w:sectPr w:rsidR="00686369" w:rsidRPr="00AE08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3EFB"/>
    <w:multiLevelType w:val="singleLevel"/>
    <w:tmpl w:val="E9A867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D0CC3"/>
    <w:multiLevelType w:val="singleLevel"/>
    <w:tmpl w:val="B3C8A5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8430A8"/>
    <w:multiLevelType w:val="singleLevel"/>
    <w:tmpl w:val="E2546B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9198E"/>
    <w:multiLevelType w:val="singleLevel"/>
    <w:tmpl w:val="2D4E6E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AC537D"/>
    <w:multiLevelType w:val="singleLevel"/>
    <w:tmpl w:val="C4B86B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10A40"/>
    <w:multiLevelType w:val="singleLevel"/>
    <w:tmpl w:val="F864AA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1A33B6"/>
    <w:multiLevelType w:val="singleLevel"/>
    <w:tmpl w:val="4FF6F7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DD7882"/>
    <w:multiLevelType w:val="singleLevel"/>
    <w:tmpl w:val="4DEE18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4277E"/>
    <w:multiLevelType w:val="singleLevel"/>
    <w:tmpl w:val="AD24E6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581FBA"/>
    <w:multiLevelType w:val="singleLevel"/>
    <w:tmpl w:val="35A67D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307019"/>
    <w:multiLevelType w:val="singleLevel"/>
    <w:tmpl w:val="FB0A35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184944"/>
    <w:multiLevelType w:val="singleLevel"/>
    <w:tmpl w:val="6E9CB5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BF517F"/>
    <w:multiLevelType w:val="singleLevel"/>
    <w:tmpl w:val="6382D2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A244F4"/>
    <w:multiLevelType w:val="singleLevel"/>
    <w:tmpl w:val="DD3E27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9D5218"/>
    <w:multiLevelType w:val="singleLevel"/>
    <w:tmpl w:val="0EA070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8407CE"/>
    <w:multiLevelType w:val="singleLevel"/>
    <w:tmpl w:val="AEE03F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994496"/>
    <w:multiLevelType w:val="singleLevel"/>
    <w:tmpl w:val="4DEE18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E7048B"/>
    <w:multiLevelType w:val="singleLevel"/>
    <w:tmpl w:val="006690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62283A"/>
    <w:multiLevelType w:val="singleLevel"/>
    <w:tmpl w:val="9DFA26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FB467A"/>
    <w:multiLevelType w:val="singleLevel"/>
    <w:tmpl w:val="F8D6F0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A33E1E"/>
    <w:multiLevelType w:val="singleLevel"/>
    <w:tmpl w:val="341C90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5D046E"/>
    <w:multiLevelType w:val="singleLevel"/>
    <w:tmpl w:val="DC2AB0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383EE3"/>
    <w:multiLevelType w:val="singleLevel"/>
    <w:tmpl w:val="4186254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5"/>
  </w:num>
  <w:num w:numId="4">
    <w:abstractNumId w:val="14"/>
  </w:num>
  <w:num w:numId="5">
    <w:abstractNumId w:val="0"/>
  </w:num>
  <w:num w:numId="6">
    <w:abstractNumId w:val="20"/>
  </w:num>
  <w:num w:numId="7">
    <w:abstractNumId w:val="9"/>
  </w:num>
  <w:num w:numId="8">
    <w:abstractNumId w:val="17"/>
  </w:num>
  <w:num w:numId="9">
    <w:abstractNumId w:val="19"/>
  </w:num>
  <w:num w:numId="10">
    <w:abstractNumId w:val="3"/>
  </w:num>
  <w:num w:numId="11">
    <w:abstractNumId w:val="6"/>
  </w:num>
  <w:num w:numId="12">
    <w:abstractNumId w:val="22"/>
  </w:num>
  <w:num w:numId="13">
    <w:abstractNumId w:val="21"/>
  </w:num>
  <w:num w:numId="14">
    <w:abstractNumId w:val="12"/>
  </w:num>
  <w:num w:numId="15">
    <w:abstractNumId w:val="1"/>
  </w:num>
  <w:num w:numId="16">
    <w:abstractNumId w:val="2"/>
  </w:num>
  <w:num w:numId="17">
    <w:abstractNumId w:val="4"/>
  </w:num>
  <w:num w:numId="18">
    <w:abstractNumId w:val="24"/>
  </w:num>
  <w:num w:numId="19">
    <w:abstractNumId w:val="23"/>
  </w:num>
  <w:num w:numId="20">
    <w:abstractNumId w:val="8"/>
  </w:num>
  <w:num w:numId="21">
    <w:abstractNumId w:val="13"/>
  </w:num>
  <w:num w:numId="22">
    <w:abstractNumId w:val="10"/>
  </w:num>
  <w:num w:numId="23">
    <w:abstractNumId w:val="15"/>
  </w:num>
  <w:num w:numId="24">
    <w:abstractNumId w:val="1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E08E5"/>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08E5"/>
    <w:pPr>
      <w:spacing w:after="120"/>
    </w:pPr>
  </w:style>
  <w:style w:type="character" w:customStyle="1" w:styleId="af6">
    <w:name w:val="正文文本 字符"/>
    <w:basedOn w:val="a0"/>
    <w:link w:val="af5"/>
    <w:uiPriority w:val="99"/>
    <w:rsid w:val="00AE08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370FF-DB73-4460-B41C-1F8CB08AD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2026-09-13T23:48:00Z</dcterms:created>
  <dcterms:modified xsi:type="dcterms:W3CDTF">2026-09-13T23:48:00Z</dcterms:modified>
</cp:coreProperties>
</file>