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B0E0BA6" w:rsidR="0049405C" w:rsidRPr="00C24D79" w:rsidRDefault="005D45B9" w:rsidP="005D45B9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5D45B9">
              <w:rPr>
                <w:rFonts w:ascii="等线" w:eastAsia="等线" w:hAnsi="Times New Roman"/>
                <w:b/>
                <w:color w:val="000000"/>
                <w:sz w:val="48"/>
              </w:rPr>
              <w:t>YUAN CAO</w:t>
            </w:r>
            <w:bookmarkEnd w:id="0"/>
          </w:p>
          <w:p w14:paraId="706EB16B" w14:textId="24E1B22D" w:rsidR="0049405C" w:rsidRPr="00C24D79" w:rsidRDefault="005D45B9" w:rsidP="005D45B9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5D45B9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5D45B9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5D45B9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017D3E25" w:rsidR="0049405C" w:rsidRPr="00C24D79" w:rsidRDefault="005D45B9" w:rsidP="005D45B9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5D45B9">
              <w:rPr>
                <w:rFonts w:ascii="等线" w:eastAsia="等线" w:hAnsi="Times New Roman"/>
                <w:color w:val="000000"/>
              </w:rPr>
              <w:t xml:space="preserve">+86 21 6263 5809 </w:t>
            </w:r>
            <w:bookmarkEnd w:id="3"/>
          </w:p>
          <w:p w14:paraId="4F910ACA" w14:textId="3CC5C418" w:rsidR="0049405C" w:rsidRPr="00C24D79" w:rsidRDefault="005D45B9" w:rsidP="005D45B9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5D45B9">
              <w:rPr>
                <w:rFonts w:ascii="等线" w:eastAsia="等线" w:hAnsi="Times New Roman"/>
                <w:color w:val="000000"/>
              </w:rPr>
              <w:t>yuan.cao@fangdalaw.com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703062C" w:rsidR="0049405C" w:rsidRPr="00C24D79" w:rsidRDefault="005D45B9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A10A7C5" wp14:editId="1B1258BC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A009E78" w:rsidR="009465FB" w:rsidRPr="00C24D79" w:rsidRDefault="005D45B9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5D45B9">
              <w:rPr>
                <w:rFonts w:ascii="等线" w:eastAsia="等线" w:hAnsi="Times New Roman"/>
                <w:color w:val="000000"/>
                <w:szCs w:val="21"/>
              </w:rPr>
              <w:t>MR. CAO SPECIALIZES IN CAPITAL MARKETS, INCLUDING PUBLIC M&amp;A, PUBLIC OFFERING, EQUITY INVESTMENT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F45CF8C" w14:textId="77777777" w:rsidR="005D45B9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314E50C" w14:textId="77777777" w:rsidR="005D45B9" w:rsidRDefault="005D45B9" w:rsidP="005D45B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D45B9">
        <w:rPr>
          <w:rFonts w:ascii="等线" w:eastAsia="等线" w:hAnsi="等线"/>
          <w:b/>
          <w:sz w:val="24"/>
        </w:rPr>
        <w:t>REPRESENTATIVE MATTERS AND CASES</w:t>
      </w:r>
    </w:p>
    <w:p w14:paraId="700C1AA2" w14:textId="77777777" w:rsidR="005D45B9" w:rsidRDefault="005D45B9" w:rsidP="005D45B9">
      <w:pPr>
        <w:pStyle w:val="af5"/>
        <w:spacing w:before="120"/>
        <w:rPr>
          <w:rFonts w:ascii="等线" w:eastAsia="等线" w:hAnsi="Times New Roman"/>
          <w:color w:val="000000"/>
        </w:rPr>
      </w:pPr>
      <w:r w:rsidRPr="005D45B9">
        <w:rPr>
          <w:rFonts w:ascii="等线" w:eastAsia="等线" w:hAnsi="Times New Roman"/>
          <w:color w:val="000000"/>
        </w:rPr>
        <w:t>PUBLIC M&amp;A</w:t>
      </w:r>
    </w:p>
    <w:p w14:paraId="55B59BD7" w14:textId="77777777" w:rsidR="005D45B9" w:rsidRDefault="005D45B9" w:rsidP="005D45B9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45B9">
        <w:rPr>
          <w:rFonts w:ascii="等线" w:eastAsia="等线" w:hAnsi="Times New Roman"/>
          <w:color w:val="000000"/>
        </w:rPr>
        <w:t>Represented Alibaba Group in its block trade or non-trade transfer business with respect to Suning.com (002024.SZ), STO Express (002468.SZ), Red Star Macalline (601828.SH/01528.HK), Lily &amp; Beauty (605136.SH), YTO Express (600233.SH), Easyhome (000785.SZ), TransInfo Technology (002373.SZ), Meinian Onehealth (002044.SZ), Focus Media (002027.SZ), Aiyong Technology (836858), Oriental Group (833374), and Huitongda Net (09878.HK)</w:t>
      </w:r>
    </w:p>
    <w:p w14:paraId="39F5BFB2" w14:textId="77777777" w:rsidR="005D45B9" w:rsidRDefault="005D45B9" w:rsidP="005D45B9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45B9">
        <w:rPr>
          <w:rFonts w:ascii="等线" w:eastAsia="等线" w:hAnsi="Times New Roman"/>
          <w:color w:val="000000"/>
        </w:rPr>
        <w:t>Represented Boyu Capital in its strategic investment in and subsequent tender offer to Jinke Services (09666.HK, H-shares fully circulated)</w:t>
      </w:r>
    </w:p>
    <w:p w14:paraId="210EBEB5" w14:textId="77777777" w:rsidR="005D45B9" w:rsidRDefault="005D45B9" w:rsidP="005D45B9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45B9">
        <w:rPr>
          <w:rFonts w:ascii="等线" w:eastAsia="等线" w:hAnsi="Times New Roman"/>
          <w:color w:val="000000"/>
        </w:rPr>
        <w:t>Represented Shanghai Industrial Holdings (00363.HK) in its investment in Canvest Env (01381.HK) through exchangeable bonds</w:t>
      </w:r>
    </w:p>
    <w:p w14:paraId="747FAD40" w14:textId="77777777" w:rsidR="005D45B9" w:rsidRDefault="005D45B9" w:rsidP="005D45B9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45B9">
        <w:rPr>
          <w:rFonts w:ascii="等线" w:eastAsia="等线" w:hAnsi="Times New Roman"/>
          <w:color w:val="000000"/>
        </w:rPr>
        <w:t>Represented Philips as a foreign investor in its strategic investment in B-Soft (300451.SZ)</w:t>
      </w:r>
    </w:p>
    <w:p w14:paraId="1C127DD5" w14:textId="77777777" w:rsidR="005D45B9" w:rsidRDefault="005D45B9" w:rsidP="005D45B9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45B9">
        <w:rPr>
          <w:rFonts w:ascii="等线" w:eastAsia="等线" w:hAnsi="Times New Roman"/>
          <w:color w:val="000000"/>
        </w:rPr>
        <w:t>Represented Shanghai Di</w:t>
      </w:r>
      <w:r w:rsidRPr="005D45B9">
        <w:rPr>
          <w:rFonts w:ascii="等线" w:eastAsia="等线" w:hAnsi="Times New Roman"/>
          <w:color w:val="000000"/>
        </w:rPr>
        <w:t>’</w:t>
      </w:r>
      <w:r w:rsidRPr="005D45B9">
        <w:rPr>
          <w:rFonts w:ascii="等线" w:eastAsia="等线" w:hAnsi="Times New Roman"/>
          <w:color w:val="000000"/>
        </w:rPr>
        <w:t>an in its acquisition of J-Yuan Trust (600816.SH)</w:t>
      </w:r>
    </w:p>
    <w:p w14:paraId="19954D01" w14:textId="77777777" w:rsidR="005D45B9" w:rsidRDefault="005D45B9" w:rsidP="005D45B9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45B9">
        <w:rPr>
          <w:rFonts w:ascii="等线" w:eastAsia="等线" w:hAnsi="Times New Roman"/>
          <w:color w:val="000000"/>
        </w:rPr>
        <w:t>Represented DCP Capital in its investment in Oriental Yuhong (002271.SZ) through private placement</w:t>
      </w:r>
    </w:p>
    <w:p w14:paraId="340B8149" w14:textId="77777777" w:rsidR="005D45B9" w:rsidRDefault="005D45B9" w:rsidP="005D45B9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45B9">
        <w:rPr>
          <w:rFonts w:ascii="等线" w:eastAsia="等线" w:hAnsi="Times New Roman"/>
          <w:color w:val="000000"/>
        </w:rPr>
        <w:t>Represented Oriental Asset in its investments in several A-share listed companies</w:t>
      </w:r>
    </w:p>
    <w:p w14:paraId="696FAC46" w14:textId="77777777" w:rsidR="005D45B9" w:rsidRDefault="005D45B9" w:rsidP="005D45B9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45B9">
        <w:rPr>
          <w:rFonts w:ascii="等线" w:eastAsia="等线" w:hAnsi="Times New Roman"/>
          <w:color w:val="000000"/>
        </w:rPr>
        <w:t>Represented APP China Investment in its acquisition of Bohui Paper (600966.SH)</w:t>
      </w:r>
    </w:p>
    <w:p w14:paraId="5209756D" w14:textId="77777777" w:rsidR="005D45B9" w:rsidRDefault="005D45B9" w:rsidP="005D45B9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45B9">
        <w:rPr>
          <w:rFonts w:ascii="等线" w:eastAsia="等线" w:hAnsi="Times New Roman"/>
          <w:color w:val="000000"/>
        </w:rPr>
        <w:t>Represented Kangda New Materials (002669.SZ) in its acquisition of Bikong Sci-Tech by share issue</w:t>
      </w:r>
    </w:p>
    <w:p w14:paraId="09789899" w14:textId="77777777" w:rsidR="005D45B9" w:rsidRDefault="005D45B9" w:rsidP="005D45B9">
      <w:pPr>
        <w:pStyle w:val="af5"/>
        <w:spacing w:before="120"/>
        <w:rPr>
          <w:rFonts w:ascii="等线" w:eastAsia="等线" w:hAnsi="Times New Roman"/>
          <w:color w:val="000000"/>
        </w:rPr>
      </w:pPr>
      <w:r w:rsidRPr="005D45B9">
        <w:rPr>
          <w:rFonts w:ascii="等线" w:eastAsia="等线" w:hAnsi="Times New Roman"/>
          <w:color w:val="000000"/>
        </w:rPr>
        <w:t>PUBLIC OFFERING</w:t>
      </w:r>
    </w:p>
    <w:p w14:paraId="35570335" w14:textId="77777777" w:rsidR="005D45B9" w:rsidRDefault="005D45B9" w:rsidP="005D45B9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45B9">
        <w:rPr>
          <w:rFonts w:ascii="等线" w:eastAsia="等线" w:hAnsi="Times New Roman"/>
          <w:color w:val="000000"/>
        </w:rPr>
        <w:t>Representing Shanghai Advanced Silicon Technology in its A-share IPO</w:t>
      </w:r>
    </w:p>
    <w:p w14:paraId="3F74D32B" w14:textId="77777777" w:rsidR="005D45B9" w:rsidRDefault="005D45B9" w:rsidP="005D45B9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45B9">
        <w:rPr>
          <w:rFonts w:ascii="等线" w:eastAsia="等线" w:hAnsi="Times New Roman"/>
          <w:color w:val="000000"/>
        </w:rPr>
        <w:t>Represented Trina Solar (688599.SH) in its A-share IPO</w:t>
      </w:r>
    </w:p>
    <w:p w14:paraId="6B741941" w14:textId="77777777" w:rsidR="005D45B9" w:rsidRDefault="005D45B9" w:rsidP="005D45B9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45B9">
        <w:rPr>
          <w:rFonts w:ascii="等线" w:eastAsia="等线" w:hAnsi="Times New Roman"/>
          <w:color w:val="000000"/>
        </w:rPr>
        <w:t>Represented Kanghui Pharmaceutical (603139.SH) in its A-share IPO</w:t>
      </w:r>
    </w:p>
    <w:p w14:paraId="12249BF1" w14:textId="77777777" w:rsidR="005D45B9" w:rsidRDefault="005D45B9" w:rsidP="005D45B9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45B9">
        <w:rPr>
          <w:rFonts w:ascii="等线" w:eastAsia="等线" w:hAnsi="Times New Roman"/>
          <w:color w:val="000000"/>
        </w:rPr>
        <w:t>Represented Linglong Tyre (601966.SH) in its A-share IPO</w:t>
      </w:r>
    </w:p>
    <w:p w14:paraId="4207E686" w14:textId="77777777" w:rsidR="005D45B9" w:rsidRDefault="005D45B9" w:rsidP="005D45B9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45B9">
        <w:rPr>
          <w:rFonts w:ascii="等线" w:eastAsia="等线" w:hAnsi="Times New Roman"/>
          <w:color w:val="000000"/>
        </w:rPr>
        <w:t>Represented Fullhan Microelectronics (300613.SZ) in its A-share IPO</w:t>
      </w:r>
    </w:p>
    <w:p w14:paraId="0A97D761" w14:textId="77777777" w:rsidR="005D45B9" w:rsidRDefault="005D45B9" w:rsidP="005D45B9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45B9">
        <w:rPr>
          <w:rFonts w:ascii="等线" w:eastAsia="等线" w:hAnsi="Times New Roman"/>
          <w:color w:val="000000"/>
        </w:rPr>
        <w:t>Acted as counsel for the underwriter CICC in the A-share IPO of GalaxyCore (688728.SH)</w:t>
      </w:r>
    </w:p>
    <w:p w14:paraId="1FE7E815" w14:textId="77777777" w:rsidR="005D45B9" w:rsidRDefault="005D45B9" w:rsidP="005D45B9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45B9">
        <w:rPr>
          <w:rFonts w:ascii="等线" w:eastAsia="等线" w:hAnsi="Times New Roman"/>
          <w:color w:val="000000"/>
        </w:rPr>
        <w:t>Acted as PRC counsel for Jinshang Bank (02558.HK) in its H-share IPO</w:t>
      </w:r>
    </w:p>
    <w:p w14:paraId="1B9954A1" w14:textId="77777777" w:rsidR="005D45B9" w:rsidRDefault="005D45B9" w:rsidP="005D45B9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45B9">
        <w:rPr>
          <w:rFonts w:ascii="等线" w:eastAsia="等线" w:hAnsi="Times New Roman"/>
          <w:color w:val="000000"/>
        </w:rPr>
        <w:t>Represented Chinamerica Educational (839268) in its NEEQ listing and delisting</w:t>
      </w:r>
    </w:p>
    <w:p w14:paraId="3FD1255B" w14:textId="77777777" w:rsidR="005D45B9" w:rsidRDefault="005D45B9" w:rsidP="005D45B9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45B9">
        <w:rPr>
          <w:rFonts w:ascii="等线" w:eastAsia="等线" w:hAnsi="Times New Roman"/>
          <w:color w:val="000000"/>
        </w:rPr>
        <w:t>Represented ZJTL Construction (870958) in its NEEQ listing</w:t>
      </w:r>
    </w:p>
    <w:p w14:paraId="43493E7D" w14:textId="77777777" w:rsidR="005D45B9" w:rsidRDefault="005D45B9" w:rsidP="005D45B9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45B9">
        <w:rPr>
          <w:rFonts w:ascii="等线" w:eastAsia="等线" w:hAnsi="Times New Roman"/>
          <w:color w:val="000000"/>
        </w:rPr>
        <w:t>Represented Infraswin Energy (871504) in its NEEQ listing</w:t>
      </w:r>
    </w:p>
    <w:p w14:paraId="59B627B7" w14:textId="77777777" w:rsidR="005D45B9" w:rsidRDefault="005D45B9" w:rsidP="005D45B9">
      <w:pPr>
        <w:pStyle w:val="af5"/>
        <w:spacing w:before="120"/>
        <w:rPr>
          <w:rFonts w:ascii="等线" w:eastAsia="等线" w:hAnsi="Times New Roman"/>
          <w:color w:val="000000"/>
        </w:rPr>
      </w:pPr>
      <w:r w:rsidRPr="005D45B9">
        <w:rPr>
          <w:rFonts w:ascii="等线" w:eastAsia="等线" w:hAnsi="Times New Roman"/>
          <w:color w:val="000000"/>
        </w:rPr>
        <w:t>EQUITY INVESTMENT AND GENERAL CORPORATE MATTERS</w:t>
      </w:r>
    </w:p>
    <w:p w14:paraId="3F100F57" w14:textId="77777777" w:rsidR="005D45B9" w:rsidRDefault="005D45B9" w:rsidP="005D45B9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45B9">
        <w:rPr>
          <w:rFonts w:ascii="等线" w:eastAsia="等线" w:hAnsi="Times New Roman"/>
          <w:color w:val="000000"/>
        </w:rPr>
        <w:t>Represented Boyu Capital, DCP Capital, Cathay Capital and Jifeng Ventures in their private equity investment projects</w:t>
      </w:r>
    </w:p>
    <w:p w14:paraId="42BA2B4C" w14:textId="77777777" w:rsidR="005D45B9" w:rsidRDefault="005D45B9" w:rsidP="005D45B9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45B9">
        <w:rPr>
          <w:rFonts w:ascii="等线" w:eastAsia="等线" w:hAnsi="Times New Roman"/>
          <w:color w:val="000000"/>
        </w:rPr>
        <w:t>Represented Shanghai Advanced Silicon Technology, Puyi Biotechnology, Jinshang Bank, Yitu Technology and Xiuzheng Pharmaceutical in their equity financing projects</w:t>
      </w:r>
    </w:p>
    <w:p w14:paraId="4986C8EE" w14:textId="77777777" w:rsidR="005D45B9" w:rsidRDefault="005D45B9" w:rsidP="005D45B9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45B9">
        <w:rPr>
          <w:rFonts w:ascii="等线" w:eastAsia="等线" w:hAnsi="Times New Roman"/>
          <w:color w:val="000000"/>
        </w:rPr>
        <w:t>Represented Alibaba (China) Network Technology in its split-off</w:t>
      </w:r>
    </w:p>
    <w:p w14:paraId="13D2B6A2" w14:textId="77777777" w:rsidR="005D45B9" w:rsidRDefault="005D45B9" w:rsidP="005D45B9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45B9">
        <w:rPr>
          <w:rFonts w:ascii="等线" w:eastAsia="等线" w:hAnsi="Times New Roman"/>
          <w:color w:val="000000"/>
        </w:rPr>
        <w:t>Represented Shanxi Bank in the merger of five city commercial banks in Shanxi Province</w:t>
      </w:r>
    </w:p>
    <w:p w14:paraId="4736365A" w14:textId="77777777" w:rsidR="005D45B9" w:rsidRDefault="005D45B9" w:rsidP="005D45B9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45B9">
        <w:rPr>
          <w:rFonts w:ascii="等线" w:eastAsia="等线" w:hAnsi="Times New Roman"/>
          <w:color w:val="000000"/>
        </w:rPr>
        <w:t>Provided post-investment legal service for Alibaba Group, Ant Group, and Boyu Capital</w:t>
      </w:r>
    </w:p>
    <w:p w14:paraId="6D7CA808" w14:textId="77777777" w:rsidR="005D45B9" w:rsidRDefault="005D45B9" w:rsidP="005D45B9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45B9">
        <w:rPr>
          <w:rFonts w:ascii="等线" w:eastAsia="等线" w:hAnsi="Times New Roman"/>
          <w:color w:val="000000"/>
        </w:rPr>
        <w:t>Provided general corporate legal service for Ant Group, Giti Tire, Shanghai Advanced Silicon Technology, Jin Jiang Online, CITIC Securities, Jinshang Bank, Trina Solar, Kanghui Pharmaceutical, HILE Bio-technology, Industrial Bank, Jinfu Technology, Chinamerica Educational, ZJTL Construction and Infraswin Energy</w:t>
      </w:r>
    </w:p>
    <w:p w14:paraId="4442896F" w14:textId="77777777" w:rsidR="005D45B9" w:rsidRDefault="005D45B9" w:rsidP="005D45B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D45B9">
        <w:rPr>
          <w:rFonts w:ascii="等线" w:eastAsia="等线" w:hAnsi="等线"/>
          <w:b/>
          <w:sz w:val="24"/>
        </w:rPr>
        <w:t>Education</w:t>
      </w:r>
    </w:p>
    <w:p w14:paraId="6C691519" w14:textId="77777777" w:rsidR="005D45B9" w:rsidRDefault="005D45B9" w:rsidP="005D45B9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45B9">
        <w:rPr>
          <w:rFonts w:ascii="等线" w:eastAsia="等线" w:hAnsi="Times New Roman"/>
          <w:color w:val="000000"/>
        </w:rPr>
        <w:t>Fudan University, J.M.</w:t>
      </w:r>
    </w:p>
    <w:p w14:paraId="0B866FE2" w14:textId="77777777" w:rsidR="005D45B9" w:rsidRDefault="005D45B9" w:rsidP="005D45B9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45B9">
        <w:rPr>
          <w:rFonts w:ascii="等线" w:eastAsia="等线" w:hAnsi="Times New Roman"/>
          <w:color w:val="000000"/>
        </w:rPr>
        <w:t>Shanghai Jiao Tong University, B.A. in English and LL.B.(as second major)</w:t>
      </w:r>
    </w:p>
    <w:p w14:paraId="206F6E54" w14:textId="77777777" w:rsidR="005D45B9" w:rsidRDefault="005D45B9" w:rsidP="005D45B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D45B9">
        <w:rPr>
          <w:rFonts w:ascii="等线" w:eastAsia="等线" w:hAnsi="等线"/>
          <w:b/>
          <w:sz w:val="24"/>
        </w:rPr>
        <w:t>Professional Qualification</w:t>
      </w:r>
    </w:p>
    <w:p w14:paraId="34A4D7C0" w14:textId="77777777" w:rsidR="005D45B9" w:rsidRDefault="005D45B9" w:rsidP="005D45B9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45B9">
        <w:rPr>
          <w:rFonts w:ascii="等线" w:eastAsia="等线" w:hAnsi="Times New Roman"/>
          <w:color w:val="000000"/>
        </w:rPr>
        <w:t>Admitted to practice in the PRC</w:t>
      </w:r>
    </w:p>
    <w:p w14:paraId="432330A4" w14:textId="77777777" w:rsidR="005D45B9" w:rsidRDefault="005D45B9" w:rsidP="005D45B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D45B9">
        <w:rPr>
          <w:rFonts w:ascii="等线" w:eastAsia="等线" w:hAnsi="等线"/>
          <w:b/>
          <w:sz w:val="24"/>
        </w:rPr>
        <w:t>Professional Background</w:t>
      </w:r>
    </w:p>
    <w:p w14:paraId="5567FC3C" w14:textId="380DEBFE" w:rsidR="00686369" w:rsidRPr="005D45B9" w:rsidRDefault="005D45B9" w:rsidP="005D45B9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45B9">
        <w:rPr>
          <w:rFonts w:ascii="等线" w:eastAsia="等线" w:hAnsi="Times New Roman"/>
          <w:color w:val="000000"/>
        </w:rPr>
        <w:t>Mr. Cao joined Fangda in 2020. Before this, he worked at King &amp; Wood Mallesons.</w:t>
      </w:r>
    </w:p>
    <w:sectPr w:rsidR="00686369" w:rsidRPr="005D45B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006FE"/>
    <w:multiLevelType w:val="singleLevel"/>
    <w:tmpl w:val="4F8C43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82E7AF5"/>
    <w:multiLevelType w:val="singleLevel"/>
    <w:tmpl w:val="0BAC27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A3956C1"/>
    <w:multiLevelType w:val="singleLevel"/>
    <w:tmpl w:val="F8FA48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CC475EF"/>
    <w:multiLevelType w:val="singleLevel"/>
    <w:tmpl w:val="C53052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18F3D11"/>
    <w:multiLevelType w:val="singleLevel"/>
    <w:tmpl w:val="4BF2DB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59C496A"/>
    <w:multiLevelType w:val="singleLevel"/>
    <w:tmpl w:val="44886B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8F82091"/>
    <w:multiLevelType w:val="singleLevel"/>
    <w:tmpl w:val="225461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5377AE5"/>
    <w:multiLevelType w:val="singleLevel"/>
    <w:tmpl w:val="959CE7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AAE12AA"/>
    <w:multiLevelType w:val="singleLevel"/>
    <w:tmpl w:val="3AC298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C74CAB"/>
    <w:multiLevelType w:val="singleLevel"/>
    <w:tmpl w:val="067869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2EE66DE4"/>
    <w:multiLevelType w:val="singleLevel"/>
    <w:tmpl w:val="F11085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52B029D"/>
    <w:multiLevelType w:val="singleLevel"/>
    <w:tmpl w:val="12464F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5386014"/>
    <w:multiLevelType w:val="singleLevel"/>
    <w:tmpl w:val="342612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70E61FC"/>
    <w:multiLevelType w:val="singleLevel"/>
    <w:tmpl w:val="E96693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43FC4F41"/>
    <w:multiLevelType w:val="singleLevel"/>
    <w:tmpl w:val="A8A2D4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4EE29C3"/>
    <w:multiLevelType w:val="singleLevel"/>
    <w:tmpl w:val="3E5E1C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6160673"/>
    <w:multiLevelType w:val="singleLevel"/>
    <w:tmpl w:val="99E6B2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88672A2"/>
    <w:multiLevelType w:val="singleLevel"/>
    <w:tmpl w:val="FE7A57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8923FF9"/>
    <w:multiLevelType w:val="singleLevel"/>
    <w:tmpl w:val="92425A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9463D2C"/>
    <w:multiLevelType w:val="singleLevel"/>
    <w:tmpl w:val="2BC0C0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A3C3119"/>
    <w:multiLevelType w:val="singleLevel"/>
    <w:tmpl w:val="89700A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D1B3F0F"/>
    <w:multiLevelType w:val="singleLevel"/>
    <w:tmpl w:val="FC7A89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0F62A29"/>
    <w:multiLevelType w:val="singleLevel"/>
    <w:tmpl w:val="12464F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1832BDE"/>
    <w:multiLevelType w:val="singleLevel"/>
    <w:tmpl w:val="B86484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3C71F02"/>
    <w:multiLevelType w:val="singleLevel"/>
    <w:tmpl w:val="CFBCDF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C972B9C"/>
    <w:multiLevelType w:val="singleLevel"/>
    <w:tmpl w:val="190C64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DE8377F"/>
    <w:multiLevelType w:val="singleLevel"/>
    <w:tmpl w:val="C0EA46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F8A55A3"/>
    <w:multiLevelType w:val="singleLevel"/>
    <w:tmpl w:val="62D636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03B4E2A"/>
    <w:multiLevelType w:val="singleLevel"/>
    <w:tmpl w:val="05E0D4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3A43CBD"/>
    <w:multiLevelType w:val="singleLevel"/>
    <w:tmpl w:val="3B86EC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5"/>
  </w:num>
  <w:num w:numId="3">
    <w:abstractNumId w:val="1"/>
  </w:num>
  <w:num w:numId="4">
    <w:abstractNumId w:val="29"/>
  </w:num>
  <w:num w:numId="5">
    <w:abstractNumId w:val="20"/>
  </w:num>
  <w:num w:numId="6">
    <w:abstractNumId w:val="19"/>
  </w:num>
  <w:num w:numId="7">
    <w:abstractNumId w:val="13"/>
  </w:num>
  <w:num w:numId="8">
    <w:abstractNumId w:val="6"/>
  </w:num>
  <w:num w:numId="9">
    <w:abstractNumId w:val="31"/>
  </w:num>
  <w:num w:numId="10">
    <w:abstractNumId w:val="21"/>
  </w:num>
  <w:num w:numId="11">
    <w:abstractNumId w:val="23"/>
  </w:num>
  <w:num w:numId="12">
    <w:abstractNumId w:val="17"/>
  </w:num>
  <w:num w:numId="13">
    <w:abstractNumId w:val="3"/>
  </w:num>
  <w:num w:numId="14">
    <w:abstractNumId w:val="18"/>
  </w:num>
  <w:num w:numId="15">
    <w:abstractNumId w:val="27"/>
  </w:num>
  <w:num w:numId="16">
    <w:abstractNumId w:val="4"/>
  </w:num>
  <w:num w:numId="17">
    <w:abstractNumId w:val="8"/>
  </w:num>
  <w:num w:numId="18">
    <w:abstractNumId w:val="16"/>
  </w:num>
  <w:num w:numId="19">
    <w:abstractNumId w:val="0"/>
  </w:num>
  <w:num w:numId="20">
    <w:abstractNumId w:val="2"/>
  </w:num>
  <w:num w:numId="21">
    <w:abstractNumId w:val="30"/>
  </w:num>
  <w:num w:numId="22">
    <w:abstractNumId w:val="11"/>
  </w:num>
  <w:num w:numId="23">
    <w:abstractNumId w:val="25"/>
  </w:num>
  <w:num w:numId="24">
    <w:abstractNumId w:val="14"/>
  </w:num>
  <w:num w:numId="25">
    <w:abstractNumId w:val="5"/>
  </w:num>
  <w:num w:numId="26">
    <w:abstractNumId w:val="28"/>
  </w:num>
  <w:num w:numId="27">
    <w:abstractNumId w:val="26"/>
  </w:num>
  <w:num w:numId="28">
    <w:abstractNumId w:val="22"/>
  </w:num>
  <w:num w:numId="29">
    <w:abstractNumId w:val="7"/>
  </w:num>
  <w:num w:numId="30">
    <w:abstractNumId w:val="9"/>
  </w:num>
  <w:num w:numId="31">
    <w:abstractNumId w:val="12"/>
  </w:num>
  <w:num w:numId="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D45B9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D45B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D45B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DCF028F-6DAA-4C74-AC4B-9D2D8D2FF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494</Words>
  <Characters>2819</Characters>
  <Application>Microsoft Office Word</Application>
  <DocSecurity>0</DocSecurity>
  <Lines>23</Lines>
  <Paragraphs>6</Paragraphs>
  <ScaleCrop>false</ScaleCrop>
  <Company/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2026-06-02T18:47:00Z</dcterms:created>
  <dcterms:modified xsi:type="dcterms:W3CDTF">2026-06-02T18:47:00Z</dcterms:modified>
</cp:coreProperties>
</file>