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96C9E0" w:rsidR="0049405C" w:rsidRPr="00C24D79" w:rsidRDefault="00FC3337" w:rsidP="00FC333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C3337">
              <w:rPr>
                <w:rFonts w:ascii="等线" w:eastAsia="等线" w:hAnsi="Times New Roman"/>
                <w:b/>
                <w:color w:val="000000"/>
                <w:sz w:val="48"/>
              </w:rPr>
              <w:t>YUAN CAO</w:t>
            </w:r>
            <w:bookmarkEnd w:id="0"/>
          </w:p>
          <w:p w14:paraId="706EB16B" w14:textId="08CB7B75" w:rsidR="0049405C" w:rsidRPr="00C24D79" w:rsidRDefault="00FC3337" w:rsidP="00FC333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C333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C333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C333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14BEC42" w:rsidR="0049405C" w:rsidRPr="00C24D79" w:rsidRDefault="00FC3337" w:rsidP="00FC333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C3337">
              <w:rPr>
                <w:rFonts w:ascii="等线" w:eastAsia="等线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58B34EA8" w:rsidR="0049405C" w:rsidRPr="00C24D79" w:rsidRDefault="00FC3337" w:rsidP="00FC333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C3337">
              <w:rPr>
                <w:rFonts w:ascii="等线" w:eastAsia="等线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2203C41" w:rsidR="0049405C" w:rsidRPr="00C24D79" w:rsidRDefault="00FC333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B44DCB" wp14:editId="5A212E0D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1DD6316" w:rsidR="009465FB" w:rsidRPr="00C24D79" w:rsidRDefault="00FC333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C3337">
              <w:rPr>
                <w:rFonts w:ascii="等线" w:eastAsia="等线" w:hAnsi="Times New Roman"/>
                <w:color w:val="000000"/>
                <w:szCs w:val="21"/>
              </w:rPr>
              <w:t>MR. CAO SPECIALIZES IN CAPITAL MARKETS, INCLUDING PUBLIC M&amp;A, PUBLIC OFFERING,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7299BD9" w14:textId="77777777" w:rsidR="00FC333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C51C211" w14:textId="77777777" w:rsidR="00FC3337" w:rsidRDefault="00FC3337" w:rsidP="00FC33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3337">
        <w:rPr>
          <w:rFonts w:ascii="等线" w:eastAsia="等线" w:hAnsi="等线"/>
          <w:b/>
          <w:sz w:val="24"/>
        </w:rPr>
        <w:t>REPRESENTATIVE MATTERS AND CASES</w:t>
      </w:r>
    </w:p>
    <w:p w14:paraId="08F0B081" w14:textId="77777777" w:rsidR="00FC3337" w:rsidRDefault="00FC3337" w:rsidP="00FC3337">
      <w:pPr>
        <w:pStyle w:val="af5"/>
        <w:spacing w:before="12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PUBLIC M&amp;A</w:t>
      </w:r>
    </w:p>
    <w:p w14:paraId="07E1007F" w14:textId="77777777" w:rsidR="00FC3337" w:rsidRDefault="00FC3337" w:rsidP="00FC333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Alibaba Group in its block trade or non-trade transfer business with respect to Suning.com (002024.SZ), STO Express (002468.SZ), Red Star Macalline (601828.SH/01528.HK), Lily &amp; Beauty (605136.SH), YTO Express (600233.SH), Easyhome (000785.SZ), TransInfo Technology (002373.SZ), Meinian Onehealth (002044.SZ), Focus Media (002027.SZ), Aiyong Technology (836858), Oriental Group (833374), and Huitongda Net (09878.HK)</w:t>
      </w:r>
    </w:p>
    <w:p w14:paraId="099FFCAC" w14:textId="77777777" w:rsidR="00FC3337" w:rsidRDefault="00FC3337" w:rsidP="00FC333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Boyu Capital in its strategic investment in and subsequent tender offer to Jinke Services (09666.HK, H-shares fully circulated)</w:t>
      </w:r>
    </w:p>
    <w:p w14:paraId="5EEF0F7E" w14:textId="77777777" w:rsidR="00FC3337" w:rsidRDefault="00FC3337" w:rsidP="00FC333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Shanghai Industrial Holdings (00363.HK) in its investment in Canvest Env (01381.HK) through exchangeable bonds</w:t>
      </w:r>
    </w:p>
    <w:p w14:paraId="58439D1A" w14:textId="77777777" w:rsidR="00FC3337" w:rsidRDefault="00FC3337" w:rsidP="00FC333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Philips as a foreign investor in its strategic investment in B-Soft (300451.SZ)</w:t>
      </w:r>
    </w:p>
    <w:p w14:paraId="49895079" w14:textId="77777777" w:rsidR="00FC3337" w:rsidRDefault="00FC3337" w:rsidP="00FC333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Shanghai Di</w:t>
      </w:r>
      <w:r w:rsidRPr="00FC3337">
        <w:rPr>
          <w:rFonts w:ascii="等线" w:eastAsia="等线" w:hAnsi="Times New Roman"/>
          <w:color w:val="000000"/>
        </w:rPr>
        <w:t>’</w:t>
      </w:r>
      <w:r w:rsidRPr="00FC3337">
        <w:rPr>
          <w:rFonts w:ascii="等线" w:eastAsia="等线" w:hAnsi="Times New Roman"/>
          <w:color w:val="000000"/>
        </w:rPr>
        <w:t>an in its acquisition of J-Yuan Trust (600816.SH)</w:t>
      </w:r>
    </w:p>
    <w:p w14:paraId="6534FA49" w14:textId="77777777" w:rsidR="00FC3337" w:rsidRDefault="00FC3337" w:rsidP="00FC333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DCP Capital in its investment in Oriental Yuhong (002271.SZ) through private placement</w:t>
      </w:r>
    </w:p>
    <w:p w14:paraId="28EE7788" w14:textId="77777777" w:rsidR="00FC3337" w:rsidRDefault="00FC3337" w:rsidP="00FC333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Oriental Asset in its investments in several A-share listed companies</w:t>
      </w:r>
    </w:p>
    <w:p w14:paraId="6B6ADAD9" w14:textId="77777777" w:rsidR="00FC3337" w:rsidRDefault="00FC3337" w:rsidP="00FC333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APP China Investment in its acquisition of Bohui Paper (600966.SH)</w:t>
      </w:r>
    </w:p>
    <w:p w14:paraId="4D3AFD23" w14:textId="77777777" w:rsidR="00FC3337" w:rsidRDefault="00FC3337" w:rsidP="00FC333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Kangda New Materials (002669.SZ) in its acquisition of Bikong Sci-Tech by share issue</w:t>
      </w:r>
    </w:p>
    <w:p w14:paraId="1FECB2C5" w14:textId="77777777" w:rsidR="00FC3337" w:rsidRDefault="00FC3337" w:rsidP="00FC3337">
      <w:pPr>
        <w:pStyle w:val="af5"/>
        <w:spacing w:before="12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PUBLIC OFFERING</w:t>
      </w:r>
    </w:p>
    <w:p w14:paraId="695066B4" w14:textId="77777777" w:rsidR="00FC3337" w:rsidRDefault="00FC3337" w:rsidP="00FC333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Representing Shanghai Advanced Silicon Technology in its A-share IPO</w:t>
      </w:r>
    </w:p>
    <w:p w14:paraId="7DCE868D" w14:textId="77777777" w:rsidR="00FC3337" w:rsidRDefault="00FC3337" w:rsidP="00FC333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Trina Solar (688599.SH) in its A-share IPO</w:t>
      </w:r>
    </w:p>
    <w:p w14:paraId="126A9F53" w14:textId="77777777" w:rsidR="00FC3337" w:rsidRDefault="00FC3337" w:rsidP="00FC333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Kanghui Pharmaceutical (603139.SH) in its A-share IPO</w:t>
      </w:r>
    </w:p>
    <w:p w14:paraId="2CAF9841" w14:textId="77777777" w:rsidR="00FC3337" w:rsidRDefault="00FC3337" w:rsidP="00FC333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Linglong Tyre (601966.SH) in its A-share IPO</w:t>
      </w:r>
    </w:p>
    <w:p w14:paraId="20C03850" w14:textId="77777777" w:rsidR="00FC3337" w:rsidRDefault="00FC3337" w:rsidP="00FC333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Fullhan Microelectronics (300613.SZ) in its A-share IPO</w:t>
      </w:r>
    </w:p>
    <w:p w14:paraId="2B1C24DA" w14:textId="77777777" w:rsidR="00FC3337" w:rsidRDefault="00FC3337" w:rsidP="00FC333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Acted as counsel for the underwriter CICC in the A-share IPO of GalaxyCore (688728.SH)</w:t>
      </w:r>
    </w:p>
    <w:p w14:paraId="3314AAED" w14:textId="77777777" w:rsidR="00FC3337" w:rsidRDefault="00FC3337" w:rsidP="00FC333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Acted as PRC counsel for Jinshang Bank (02558.HK) in its H-share IPO</w:t>
      </w:r>
    </w:p>
    <w:p w14:paraId="5866AF0E" w14:textId="77777777" w:rsidR="00FC3337" w:rsidRDefault="00FC3337" w:rsidP="00FC333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Chinamerica Educational (839268) in its NEEQ listing and delisting</w:t>
      </w:r>
    </w:p>
    <w:p w14:paraId="4DF42313" w14:textId="77777777" w:rsidR="00FC3337" w:rsidRDefault="00FC3337" w:rsidP="00FC333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ZJTL Construction (870958) in its NEEQ listing</w:t>
      </w:r>
    </w:p>
    <w:p w14:paraId="6724AD61" w14:textId="77777777" w:rsidR="00FC3337" w:rsidRDefault="00FC3337" w:rsidP="00FC333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Infraswin Energy (871504) in its NEEQ listing</w:t>
      </w:r>
    </w:p>
    <w:p w14:paraId="368A2B0F" w14:textId="77777777" w:rsidR="00FC3337" w:rsidRDefault="00FC3337" w:rsidP="00FC3337">
      <w:pPr>
        <w:pStyle w:val="af5"/>
        <w:spacing w:before="12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EQUITY INVESTMENT AND GENERAL CORPORATE MATTERS</w:t>
      </w:r>
    </w:p>
    <w:p w14:paraId="60E20A2B" w14:textId="77777777" w:rsidR="00FC3337" w:rsidRDefault="00FC3337" w:rsidP="00FC333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Boyu Capital, DCP Capital, Cathay Capital and Jifeng Ventures in their private equity investment projects</w:t>
      </w:r>
    </w:p>
    <w:p w14:paraId="2AD1BB0F" w14:textId="77777777" w:rsidR="00FC3337" w:rsidRDefault="00FC3337" w:rsidP="00FC333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Shanghai Advanced Silicon Technology, Puyi Biotechnology, Jinshang Bank, Yitu Technology and Xiuzheng Pharmaceutical in their equity financing projects</w:t>
      </w:r>
    </w:p>
    <w:p w14:paraId="6AE9C747" w14:textId="77777777" w:rsidR="00FC3337" w:rsidRDefault="00FC3337" w:rsidP="00FC333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Alibaba (China) Network Technology in its split-off</w:t>
      </w:r>
    </w:p>
    <w:p w14:paraId="789A5761" w14:textId="77777777" w:rsidR="00FC3337" w:rsidRDefault="00FC3337" w:rsidP="00FC333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Represented Shanxi Bank in the merger of five city commercial banks in Shanxi Province</w:t>
      </w:r>
    </w:p>
    <w:p w14:paraId="69D94B7A" w14:textId="77777777" w:rsidR="00FC3337" w:rsidRDefault="00FC3337" w:rsidP="00FC333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Provided post-investment legal service for Alibaba Group, Ant Group, and Boyu Capital</w:t>
      </w:r>
    </w:p>
    <w:p w14:paraId="67E79CC8" w14:textId="77777777" w:rsidR="00FC3337" w:rsidRDefault="00FC3337" w:rsidP="00FC333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Provided general corporate legal service for Ant Group, Giti Tire, Shanghai Advanced Silicon Technology, Jin Jiang Online, CITIC Securities, Jinshang Bank, Trina Solar, Kanghui Pharmaceutical, HILE Bio-technology, Industrial Bank, Jinfu Technology, Chinamerica Educational, ZJTL Construction and Infraswin Energy</w:t>
      </w:r>
    </w:p>
    <w:p w14:paraId="3AF9E502" w14:textId="77777777" w:rsidR="00FC3337" w:rsidRDefault="00FC3337" w:rsidP="00FC33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3337">
        <w:rPr>
          <w:rFonts w:ascii="等线" w:eastAsia="等线" w:hAnsi="等线"/>
          <w:b/>
          <w:sz w:val="24"/>
        </w:rPr>
        <w:t>Education</w:t>
      </w:r>
    </w:p>
    <w:p w14:paraId="53EFD01F" w14:textId="77777777" w:rsidR="00FC3337" w:rsidRDefault="00FC3337" w:rsidP="00FC333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Fudan University, J.M.</w:t>
      </w:r>
    </w:p>
    <w:p w14:paraId="7AFB2353" w14:textId="77777777" w:rsidR="00FC3337" w:rsidRDefault="00FC3337" w:rsidP="00FC333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Shanghai Jiao Tong University, B.A. in English and LL.B.(as second major)</w:t>
      </w:r>
    </w:p>
    <w:p w14:paraId="5326E0DE" w14:textId="77777777" w:rsidR="00FC3337" w:rsidRDefault="00FC3337" w:rsidP="00FC33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3337">
        <w:rPr>
          <w:rFonts w:ascii="等线" w:eastAsia="等线" w:hAnsi="等线"/>
          <w:b/>
          <w:sz w:val="24"/>
        </w:rPr>
        <w:t>Professional Qualification</w:t>
      </w:r>
    </w:p>
    <w:p w14:paraId="2701B5FE" w14:textId="77777777" w:rsidR="00FC3337" w:rsidRDefault="00FC3337" w:rsidP="00FC333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Admitted to practice in the PRC</w:t>
      </w:r>
    </w:p>
    <w:p w14:paraId="581B90E1" w14:textId="77777777" w:rsidR="00FC3337" w:rsidRDefault="00FC3337" w:rsidP="00FC333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C3337">
        <w:rPr>
          <w:rFonts w:ascii="等线" w:eastAsia="等线" w:hAnsi="等线"/>
          <w:b/>
          <w:sz w:val="24"/>
        </w:rPr>
        <w:t>Professional Background</w:t>
      </w:r>
    </w:p>
    <w:p w14:paraId="5567FC3C" w14:textId="3491FD9A" w:rsidR="00686369" w:rsidRPr="00FC3337" w:rsidRDefault="00FC3337" w:rsidP="00FC333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C3337">
        <w:rPr>
          <w:rFonts w:ascii="等线" w:eastAsia="等线" w:hAnsi="Times New Roman"/>
          <w:color w:val="000000"/>
        </w:rPr>
        <w:t>Mr. Cao joined Fangda in 2020. Before this, he worked at King &amp; Wood Mallesons.</w:t>
      </w:r>
    </w:p>
    <w:sectPr w:rsidR="00686369" w:rsidRPr="00FC333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4756"/>
    <w:multiLevelType w:val="singleLevel"/>
    <w:tmpl w:val="EE1EAD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BB48AA"/>
    <w:multiLevelType w:val="singleLevel"/>
    <w:tmpl w:val="BF743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457836"/>
    <w:multiLevelType w:val="singleLevel"/>
    <w:tmpl w:val="27D8F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CD129C"/>
    <w:multiLevelType w:val="singleLevel"/>
    <w:tmpl w:val="7D0CDD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AE5299"/>
    <w:multiLevelType w:val="singleLevel"/>
    <w:tmpl w:val="77E4CC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B43C4D"/>
    <w:multiLevelType w:val="singleLevel"/>
    <w:tmpl w:val="B7F6D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7B2180C"/>
    <w:multiLevelType w:val="singleLevel"/>
    <w:tmpl w:val="DE9A6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B673B65"/>
    <w:multiLevelType w:val="singleLevel"/>
    <w:tmpl w:val="0F22D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BAD388B"/>
    <w:multiLevelType w:val="singleLevel"/>
    <w:tmpl w:val="EFA894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29E022F"/>
    <w:multiLevelType w:val="singleLevel"/>
    <w:tmpl w:val="B8B808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254BDE"/>
    <w:multiLevelType w:val="singleLevel"/>
    <w:tmpl w:val="D0747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CF1E35"/>
    <w:multiLevelType w:val="singleLevel"/>
    <w:tmpl w:val="25603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303009"/>
    <w:multiLevelType w:val="singleLevel"/>
    <w:tmpl w:val="D9D8D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1634163"/>
    <w:multiLevelType w:val="singleLevel"/>
    <w:tmpl w:val="11BC94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E77112"/>
    <w:multiLevelType w:val="singleLevel"/>
    <w:tmpl w:val="F84E56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E6633E"/>
    <w:multiLevelType w:val="singleLevel"/>
    <w:tmpl w:val="E620FB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FD73BA"/>
    <w:multiLevelType w:val="singleLevel"/>
    <w:tmpl w:val="9224F9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AF24AD"/>
    <w:multiLevelType w:val="singleLevel"/>
    <w:tmpl w:val="AED23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B564D5A"/>
    <w:multiLevelType w:val="singleLevel"/>
    <w:tmpl w:val="BF743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1636389"/>
    <w:multiLevelType w:val="singleLevel"/>
    <w:tmpl w:val="3126F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366D24"/>
    <w:multiLevelType w:val="singleLevel"/>
    <w:tmpl w:val="10B41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26803D1"/>
    <w:multiLevelType w:val="singleLevel"/>
    <w:tmpl w:val="309E9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A86F37"/>
    <w:multiLevelType w:val="singleLevel"/>
    <w:tmpl w:val="B3B6E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0193E19"/>
    <w:multiLevelType w:val="singleLevel"/>
    <w:tmpl w:val="C1E60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552FFE"/>
    <w:multiLevelType w:val="singleLevel"/>
    <w:tmpl w:val="BE382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2673032"/>
    <w:multiLevelType w:val="singleLevel"/>
    <w:tmpl w:val="7C320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4E4270"/>
    <w:multiLevelType w:val="singleLevel"/>
    <w:tmpl w:val="5A7829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BF77F42"/>
    <w:multiLevelType w:val="singleLevel"/>
    <w:tmpl w:val="1A2A2D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DCB1A0E"/>
    <w:multiLevelType w:val="singleLevel"/>
    <w:tmpl w:val="6B786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F8156F5"/>
    <w:multiLevelType w:val="singleLevel"/>
    <w:tmpl w:val="4906EB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15"/>
  </w:num>
  <w:num w:numId="4">
    <w:abstractNumId w:val="0"/>
  </w:num>
  <w:num w:numId="5">
    <w:abstractNumId w:val="26"/>
  </w:num>
  <w:num w:numId="6">
    <w:abstractNumId w:val="11"/>
  </w:num>
  <w:num w:numId="7">
    <w:abstractNumId w:val="18"/>
  </w:num>
  <w:num w:numId="8">
    <w:abstractNumId w:val="10"/>
  </w:num>
  <w:num w:numId="9">
    <w:abstractNumId w:val="21"/>
  </w:num>
  <w:num w:numId="10">
    <w:abstractNumId w:val="5"/>
  </w:num>
  <w:num w:numId="11">
    <w:abstractNumId w:val="23"/>
  </w:num>
  <w:num w:numId="12">
    <w:abstractNumId w:val="25"/>
  </w:num>
  <w:num w:numId="13">
    <w:abstractNumId w:val="29"/>
  </w:num>
  <w:num w:numId="14">
    <w:abstractNumId w:val="3"/>
  </w:num>
  <w:num w:numId="15">
    <w:abstractNumId w:val="16"/>
  </w:num>
  <w:num w:numId="16">
    <w:abstractNumId w:val="14"/>
  </w:num>
  <w:num w:numId="17">
    <w:abstractNumId w:val="22"/>
  </w:num>
  <w:num w:numId="18">
    <w:abstractNumId w:val="30"/>
  </w:num>
  <w:num w:numId="19">
    <w:abstractNumId w:val="24"/>
  </w:num>
  <w:num w:numId="20">
    <w:abstractNumId w:val="17"/>
  </w:num>
  <w:num w:numId="21">
    <w:abstractNumId w:val="19"/>
  </w:num>
  <w:num w:numId="22">
    <w:abstractNumId w:val="13"/>
  </w:num>
  <w:num w:numId="23">
    <w:abstractNumId w:val="4"/>
  </w:num>
  <w:num w:numId="24">
    <w:abstractNumId w:val="31"/>
  </w:num>
  <w:num w:numId="25">
    <w:abstractNumId w:val="8"/>
  </w:num>
  <w:num w:numId="26">
    <w:abstractNumId w:val="2"/>
  </w:num>
  <w:num w:numId="27">
    <w:abstractNumId w:val="27"/>
  </w:num>
  <w:num w:numId="28">
    <w:abstractNumId w:val="7"/>
  </w:num>
  <w:num w:numId="29">
    <w:abstractNumId w:val="28"/>
  </w:num>
  <w:num w:numId="30">
    <w:abstractNumId w:val="6"/>
  </w:num>
  <w:num w:numId="31">
    <w:abstractNumId w:val="20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3337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C333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C333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D6D8FF-57B6-40EE-884C-624F14E86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2026-10-28T07:59:00Z</dcterms:created>
  <dcterms:modified xsi:type="dcterms:W3CDTF">2026-10-28T07:59:00Z</dcterms:modified>
</cp:coreProperties>
</file>