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6E4D37D" w:rsidR="0049405C" w:rsidRPr="00C24D79" w:rsidRDefault="00B92109" w:rsidP="00B92109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B92109">
              <w:rPr>
                <w:rFonts w:ascii="等线" w:eastAsia="等线" w:hAnsi="Times New Roman"/>
                <w:b/>
                <w:color w:val="000000"/>
                <w:sz w:val="48"/>
              </w:rPr>
              <w:t>WU CHENG</w:t>
            </w:r>
            <w:bookmarkEnd w:id="0"/>
          </w:p>
          <w:p w14:paraId="706EB16B" w14:textId="03923BF4" w:rsidR="0049405C" w:rsidRPr="00C24D79" w:rsidRDefault="00B92109" w:rsidP="00B92109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B92109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B92109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B92109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1C12B571" w:rsidR="0049405C" w:rsidRPr="00C24D79" w:rsidRDefault="00B92109" w:rsidP="00B92109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B92109">
              <w:rPr>
                <w:rFonts w:ascii="等线" w:eastAsia="等线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14C77390" w:rsidR="0049405C" w:rsidRPr="00C24D79" w:rsidRDefault="00B92109" w:rsidP="00B92109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B92109">
              <w:rPr>
                <w:rFonts w:ascii="等线" w:eastAsia="等线" w:hAnsi="Times New Roman"/>
                <w:color w:val="000000"/>
              </w:rPr>
              <w:t>Cheng.Wu@fangdalaw.com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1E3B0A2" w:rsidR="0049405C" w:rsidRPr="00C24D79" w:rsidRDefault="00B92109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6FBEA07" wp14:editId="124C75FA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2A9280A" w:rsidR="009465FB" w:rsidRPr="00C24D79" w:rsidRDefault="00B92109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B92109">
              <w:rPr>
                <w:rFonts w:ascii="等线" w:eastAsia="等线" w:hAnsi="Times New Roman"/>
                <w:color w:val="000000"/>
                <w:szCs w:val="21"/>
              </w:rPr>
              <w:t>MR. WU SPECIALIZES IN SECURITIES OFFERING AND LISTING, LISTED CORPORATION M&amp;A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A860DD2" w14:textId="77777777" w:rsidR="00B92109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AEBCC31" w14:textId="77777777" w:rsidR="00B92109" w:rsidRDefault="00B92109" w:rsidP="00B9210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92109">
        <w:rPr>
          <w:rFonts w:ascii="等线" w:eastAsia="等线" w:hAnsi="等线"/>
          <w:b/>
          <w:sz w:val="24"/>
        </w:rPr>
        <w:t>REPRESENTATIVE MATTERS AND CASES</w:t>
      </w:r>
    </w:p>
    <w:p w14:paraId="4203EA56" w14:textId="77777777" w:rsidR="00B92109" w:rsidRDefault="00B92109" w:rsidP="00B92109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47C6E5EA" w14:textId="77777777" w:rsidR="00B92109" w:rsidRDefault="00B92109" w:rsidP="00B92109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109">
        <w:rPr>
          <w:rFonts w:ascii="等线" w:eastAsia="等线" w:hAnsi="Times New Roman"/>
          <w:color w:val="000000"/>
        </w:rPr>
        <w:t>Represented Rept Battero (00666.HK) in its H-share IPO and listing on the Stock Exchange of Hong Kong</w:t>
      </w:r>
    </w:p>
    <w:p w14:paraId="1D77375D" w14:textId="77777777" w:rsidR="00B92109" w:rsidRDefault="00B92109" w:rsidP="00B92109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109">
        <w:rPr>
          <w:rFonts w:ascii="等线" w:eastAsia="等线" w:hAnsi="Times New Roman"/>
          <w:color w:val="000000"/>
        </w:rPr>
        <w:t>Represented Wangbian Electric (603191.SH) in its A-share IPO and listing on the Shanghai Stock Exchange</w:t>
      </w:r>
    </w:p>
    <w:p w14:paraId="4F7E7259" w14:textId="77777777" w:rsidR="00B92109" w:rsidRDefault="00B92109" w:rsidP="00B92109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109">
        <w:rPr>
          <w:rFonts w:ascii="等线" w:eastAsia="等线" w:hAnsi="Times New Roman"/>
          <w:color w:val="000000"/>
        </w:rPr>
        <w:t>Represented the sponsor in connection with the A-share IPO and listing on the Shanghai Stock Exchange STAR market of HCFA (688320.SH)</w:t>
      </w:r>
    </w:p>
    <w:p w14:paraId="7FC6D864" w14:textId="77777777" w:rsidR="00B92109" w:rsidRDefault="00B92109" w:rsidP="00B92109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109">
        <w:rPr>
          <w:rFonts w:ascii="等线" w:eastAsia="等线" w:hAnsi="Times New Roman"/>
          <w:color w:val="000000"/>
        </w:rPr>
        <w:t>Represented Asieris Pharmaceuticals (688176.SH) in its A-share IPO and listing on the Shanghai Stock Exchange STAR market</w:t>
      </w:r>
    </w:p>
    <w:p w14:paraId="72859AD3" w14:textId="77777777" w:rsidR="00B92109" w:rsidRDefault="00B92109" w:rsidP="00B92109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109">
        <w:rPr>
          <w:rFonts w:ascii="等线" w:eastAsia="等线" w:hAnsi="Times New Roman"/>
          <w:color w:val="000000"/>
        </w:rPr>
        <w:t>Represented Keysino (300899.SZ) in its A-share IPO and listing on the Shenzhen Stock Exchange ChiNext market</w:t>
      </w:r>
    </w:p>
    <w:p w14:paraId="102323FF" w14:textId="77777777" w:rsidR="00B92109" w:rsidRDefault="00B92109" w:rsidP="00B92109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109">
        <w:rPr>
          <w:rFonts w:ascii="等线" w:eastAsia="等线" w:hAnsi="Times New Roman"/>
          <w:color w:val="000000"/>
        </w:rPr>
        <w:t>Represented the sponsor in connection with the A-share IPO and listing on the Shanghai Stock Exchange STAR market of Endovastec MedTech (688016.SH)</w:t>
      </w:r>
    </w:p>
    <w:p w14:paraId="3E394066" w14:textId="77777777" w:rsidR="00B92109" w:rsidRDefault="00B92109" w:rsidP="00B92109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109">
        <w:rPr>
          <w:rFonts w:ascii="等线" w:eastAsia="等线" w:hAnsi="Times New Roman"/>
          <w:color w:val="000000"/>
        </w:rPr>
        <w:t>Represented Zheshang Securities (6001878.SH) in its A-share IPO and listing on the Shanghai Stock Exchange, its issuance of convertible bonds in 2019, its non-public issuance of A-shares in 2021, and its convertible bond issuance of convertible bonds in 2022</w:t>
      </w:r>
    </w:p>
    <w:p w14:paraId="0197EECF" w14:textId="77777777" w:rsidR="00B92109" w:rsidRDefault="00B92109" w:rsidP="00B92109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109">
        <w:rPr>
          <w:rFonts w:ascii="等线" w:eastAsia="等线" w:hAnsi="Times New Roman"/>
          <w:color w:val="000000"/>
        </w:rPr>
        <w:t>Represented Tao Capital in its investments in Smartbeam Technology</w:t>
      </w:r>
    </w:p>
    <w:p w14:paraId="3673E29F" w14:textId="77777777" w:rsidR="00B92109" w:rsidRDefault="00B92109" w:rsidP="00B92109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109">
        <w:rPr>
          <w:rFonts w:ascii="等线" w:eastAsia="等线" w:hAnsi="Times New Roman"/>
          <w:color w:val="000000"/>
        </w:rPr>
        <w:t>Represented Rept Battero in its Series A financing and Series B financing</w:t>
      </w:r>
    </w:p>
    <w:p w14:paraId="28668FA4" w14:textId="77777777" w:rsidR="00B92109" w:rsidRDefault="00B92109" w:rsidP="00B92109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109">
        <w:rPr>
          <w:rFonts w:ascii="等线" w:eastAsia="等线" w:hAnsi="Times New Roman"/>
          <w:color w:val="000000"/>
        </w:rPr>
        <w:t>Represented Colori in its Series A financing and Series B financing</w:t>
      </w:r>
    </w:p>
    <w:p w14:paraId="5AE37F02" w14:textId="77777777" w:rsidR="00B92109" w:rsidRDefault="00B92109" w:rsidP="00B92109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109">
        <w:rPr>
          <w:rFonts w:ascii="等线" w:eastAsia="等线" w:hAnsi="Times New Roman"/>
          <w:color w:val="000000"/>
        </w:rPr>
        <w:t>Represented Haid Group (002311.SZ) in its acquisition of Debao Group</w:t>
      </w:r>
    </w:p>
    <w:p w14:paraId="72A76A24" w14:textId="77777777" w:rsidR="00B92109" w:rsidRDefault="00B92109" w:rsidP="00B92109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109">
        <w:rPr>
          <w:rFonts w:ascii="等线" w:eastAsia="等线" w:hAnsi="Times New Roman"/>
          <w:color w:val="000000"/>
        </w:rPr>
        <w:t>Represented China Fortune-Tech Capital in its investment in ETEK Micro-Electronics</w:t>
      </w:r>
    </w:p>
    <w:p w14:paraId="12A132AC" w14:textId="77777777" w:rsidR="00B92109" w:rsidRDefault="00B92109" w:rsidP="00B92109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109">
        <w:rPr>
          <w:rFonts w:ascii="等线" w:eastAsia="等线" w:hAnsi="Times New Roman"/>
          <w:color w:val="000000"/>
        </w:rPr>
        <w:t>Represented SIENSOL EP in its acquisition of CECM (300385.SZ)</w:t>
      </w:r>
    </w:p>
    <w:p w14:paraId="6D5ECE18" w14:textId="77777777" w:rsidR="00B92109" w:rsidRDefault="00B92109" w:rsidP="00B92109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109">
        <w:rPr>
          <w:rFonts w:ascii="等线" w:eastAsia="等线" w:hAnsi="Times New Roman"/>
          <w:color w:val="000000"/>
        </w:rPr>
        <w:t>Represented Shanghai TANDA in its acquisition of Jiujiang Sun.King Technology</w:t>
      </w:r>
    </w:p>
    <w:p w14:paraId="64334A7A" w14:textId="77777777" w:rsidR="00B92109" w:rsidRDefault="00B92109" w:rsidP="00B92109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109">
        <w:rPr>
          <w:rFonts w:ascii="等线" w:eastAsia="等线" w:hAnsi="Times New Roman"/>
          <w:color w:val="000000"/>
        </w:rPr>
        <w:t>Represented Sunic Capital in its acquisition of Xincomm</w:t>
      </w:r>
    </w:p>
    <w:p w14:paraId="6077BE2F" w14:textId="77777777" w:rsidR="00B92109" w:rsidRDefault="00B92109" w:rsidP="00B92109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109">
        <w:rPr>
          <w:rFonts w:ascii="等线" w:eastAsia="等线" w:hAnsi="Times New Roman"/>
          <w:color w:val="000000"/>
        </w:rPr>
        <w:t>Represented Xinhua Capital in its investments in Henlius</w:t>
      </w:r>
    </w:p>
    <w:p w14:paraId="03AFFF57" w14:textId="77777777" w:rsidR="00B92109" w:rsidRDefault="00B92109" w:rsidP="00B9210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92109">
        <w:rPr>
          <w:rFonts w:ascii="等线" w:eastAsia="等线" w:hAnsi="等线"/>
          <w:b/>
          <w:sz w:val="24"/>
        </w:rPr>
        <w:t>Education</w:t>
      </w:r>
    </w:p>
    <w:p w14:paraId="5E39A5C1" w14:textId="77777777" w:rsidR="00B92109" w:rsidRDefault="00B92109" w:rsidP="00B92109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109">
        <w:rPr>
          <w:rFonts w:ascii="等线" w:eastAsia="等线" w:hAnsi="Times New Roman"/>
          <w:color w:val="000000"/>
        </w:rPr>
        <w:t>East China University of Political Science and Law, LL.B. (2013)</w:t>
      </w:r>
    </w:p>
    <w:p w14:paraId="7C431EA8" w14:textId="77777777" w:rsidR="00B92109" w:rsidRDefault="00B92109" w:rsidP="00B92109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109">
        <w:rPr>
          <w:rFonts w:ascii="等线" w:eastAsia="等线" w:hAnsi="Times New Roman"/>
          <w:color w:val="000000"/>
        </w:rPr>
        <w:t>Shanghai International Studies University, B.A. (2013)</w:t>
      </w:r>
    </w:p>
    <w:p w14:paraId="1DC8609D" w14:textId="77777777" w:rsidR="00B92109" w:rsidRDefault="00B92109" w:rsidP="00B92109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109">
        <w:rPr>
          <w:rFonts w:ascii="等线" w:eastAsia="等线" w:hAnsi="Times New Roman"/>
          <w:color w:val="000000"/>
        </w:rPr>
        <w:t>Shanghai Academy of Social Sciences, LL.M. (2016)</w:t>
      </w:r>
    </w:p>
    <w:p w14:paraId="1DFA6AD4" w14:textId="77777777" w:rsidR="00B92109" w:rsidRDefault="00B92109" w:rsidP="00B9210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92109">
        <w:rPr>
          <w:rFonts w:ascii="等线" w:eastAsia="等线" w:hAnsi="等线"/>
          <w:b/>
          <w:sz w:val="24"/>
        </w:rPr>
        <w:t>Professional Qualification</w:t>
      </w:r>
    </w:p>
    <w:p w14:paraId="6B609A5A" w14:textId="77777777" w:rsidR="00B92109" w:rsidRDefault="00B92109" w:rsidP="00B92109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109">
        <w:rPr>
          <w:rFonts w:ascii="等线" w:eastAsia="等线" w:hAnsi="Times New Roman"/>
          <w:color w:val="000000"/>
        </w:rPr>
        <w:t>Admitted to practice in the PRC</w:t>
      </w:r>
    </w:p>
    <w:p w14:paraId="4D5EF200" w14:textId="77777777" w:rsidR="00B92109" w:rsidRDefault="00B92109" w:rsidP="00B9210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92109">
        <w:rPr>
          <w:rFonts w:ascii="等线" w:eastAsia="等线" w:hAnsi="等线"/>
          <w:b/>
          <w:sz w:val="24"/>
        </w:rPr>
        <w:t>Professional Background</w:t>
      </w:r>
    </w:p>
    <w:p w14:paraId="5567FC3C" w14:textId="4E76C0C4" w:rsidR="00686369" w:rsidRPr="00B92109" w:rsidRDefault="00B92109" w:rsidP="00B92109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109">
        <w:rPr>
          <w:rFonts w:ascii="等线" w:eastAsia="等线" w:hAnsi="Times New Roman"/>
          <w:color w:val="000000"/>
        </w:rPr>
        <w:t>Mr. Wu joined Fangda in 2022. Before joining the firm, he worked at a leading law firm in capital markets.</w:t>
      </w:r>
    </w:p>
    <w:sectPr w:rsidR="00686369" w:rsidRPr="00B9210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55217"/>
    <w:multiLevelType w:val="singleLevel"/>
    <w:tmpl w:val="EC8E86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A44B29"/>
    <w:multiLevelType w:val="singleLevel"/>
    <w:tmpl w:val="121031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9146931"/>
    <w:multiLevelType w:val="singleLevel"/>
    <w:tmpl w:val="309AE6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97B7740"/>
    <w:multiLevelType w:val="singleLevel"/>
    <w:tmpl w:val="456A53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4081F93"/>
    <w:multiLevelType w:val="singleLevel"/>
    <w:tmpl w:val="5740A1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4384C43"/>
    <w:multiLevelType w:val="singleLevel"/>
    <w:tmpl w:val="14BCD4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E7A76B2"/>
    <w:multiLevelType w:val="singleLevel"/>
    <w:tmpl w:val="799A8D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F7218E2"/>
    <w:multiLevelType w:val="singleLevel"/>
    <w:tmpl w:val="B2D41A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8C302C2"/>
    <w:multiLevelType w:val="singleLevel"/>
    <w:tmpl w:val="A678EF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96968A5"/>
    <w:multiLevelType w:val="singleLevel"/>
    <w:tmpl w:val="FF8AFC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BF87C77"/>
    <w:multiLevelType w:val="singleLevel"/>
    <w:tmpl w:val="E80805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1C17EDF"/>
    <w:multiLevelType w:val="singleLevel"/>
    <w:tmpl w:val="E9F84B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2813CF5"/>
    <w:multiLevelType w:val="singleLevel"/>
    <w:tmpl w:val="424493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8E32CF5"/>
    <w:multiLevelType w:val="singleLevel"/>
    <w:tmpl w:val="43B84F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482E57CE"/>
    <w:multiLevelType w:val="singleLevel"/>
    <w:tmpl w:val="2A80FA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9574A2D"/>
    <w:multiLevelType w:val="singleLevel"/>
    <w:tmpl w:val="A2484F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9667FC9"/>
    <w:multiLevelType w:val="singleLevel"/>
    <w:tmpl w:val="799A8D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99A6E42"/>
    <w:multiLevelType w:val="singleLevel"/>
    <w:tmpl w:val="B1AA50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E1C4055"/>
    <w:multiLevelType w:val="singleLevel"/>
    <w:tmpl w:val="2B5016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0AB567C"/>
    <w:multiLevelType w:val="singleLevel"/>
    <w:tmpl w:val="BD62F6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AE05CEA"/>
    <w:multiLevelType w:val="singleLevel"/>
    <w:tmpl w:val="50C033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3432797"/>
    <w:multiLevelType w:val="singleLevel"/>
    <w:tmpl w:val="C6043B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5"/>
  </w:num>
  <w:num w:numId="3">
    <w:abstractNumId w:val="5"/>
  </w:num>
  <w:num w:numId="4">
    <w:abstractNumId w:val="22"/>
  </w:num>
  <w:num w:numId="5">
    <w:abstractNumId w:val="2"/>
  </w:num>
  <w:num w:numId="6">
    <w:abstractNumId w:val="4"/>
  </w:num>
  <w:num w:numId="7">
    <w:abstractNumId w:val="23"/>
  </w:num>
  <w:num w:numId="8">
    <w:abstractNumId w:val="1"/>
  </w:num>
  <w:num w:numId="9">
    <w:abstractNumId w:val="20"/>
  </w:num>
  <w:num w:numId="10">
    <w:abstractNumId w:val="9"/>
  </w:num>
  <w:num w:numId="11">
    <w:abstractNumId w:val="10"/>
  </w:num>
  <w:num w:numId="12">
    <w:abstractNumId w:val="8"/>
  </w:num>
  <w:num w:numId="13">
    <w:abstractNumId w:val="3"/>
  </w:num>
  <w:num w:numId="14">
    <w:abstractNumId w:val="0"/>
  </w:num>
  <w:num w:numId="15">
    <w:abstractNumId w:val="21"/>
  </w:num>
  <w:num w:numId="16">
    <w:abstractNumId w:val="13"/>
  </w:num>
  <w:num w:numId="17">
    <w:abstractNumId w:val="12"/>
  </w:num>
  <w:num w:numId="18">
    <w:abstractNumId w:val="19"/>
  </w:num>
  <w:num w:numId="19">
    <w:abstractNumId w:val="7"/>
  </w:num>
  <w:num w:numId="20">
    <w:abstractNumId w:val="17"/>
  </w:num>
  <w:num w:numId="21">
    <w:abstractNumId w:val="14"/>
  </w:num>
  <w:num w:numId="22">
    <w:abstractNumId w:val="16"/>
  </w:num>
  <w:num w:numId="23">
    <w:abstractNumId w:val="18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9210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9210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9210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7D0B9C6-CF4A-4907-9CBB-797FAB330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326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2026-10-28T10:10:00Z</dcterms:created>
  <dcterms:modified xsi:type="dcterms:W3CDTF">2026-10-28T10:10:00Z</dcterms:modified>
</cp:coreProperties>
</file>