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F93B431" w:rsidR="0049405C" w:rsidRPr="00C24D79" w:rsidRDefault="00F955E6" w:rsidP="00F955E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955E6">
              <w:rPr>
                <w:rFonts w:ascii="等线" w:eastAsia="等线" w:hAnsi="Times New Roman"/>
                <w:b/>
                <w:color w:val="000000"/>
                <w:sz w:val="48"/>
              </w:rPr>
              <w:t>INGRID LAU</w:t>
            </w:r>
            <w:bookmarkEnd w:id="0"/>
          </w:p>
          <w:p w14:paraId="706EB16B" w14:textId="30746B75" w:rsidR="0049405C" w:rsidRPr="00C24D79" w:rsidRDefault="00F955E6" w:rsidP="00F955E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955E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D4B2F0F" w:rsidR="0049405C" w:rsidRPr="00C24D79" w:rsidRDefault="00F955E6" w:rsidP="00F955E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955E6">
              <w:rPr>
                <w:rFonts w:ascii="等线" w:eastAsia="等线" w:hAnsi="Times New Roman"/>
                <w:color w:val="000000"/>
              </w:rPr>
              <w:t xml:space="preserve">+86 10 5769 5695 </w:t>
            </w:r>
            <w:bookmarkEnd w:id="3"/>
          </w:p>
          <w:p w14:paraId="4F910ACA" w14:textId="48593E32" w:rsidR="0049405C" w:rsidRPr="00C24D79" w:rsidRDefault="00F955E6" w:rsidP="00F955E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955E6">
              <w:rPr>
                <w:rFonts w:ascii="等线" w:eastAsia="等线" w:hAnsi="Times New Roman"/>
                <w:color w:val="000000"/>
              </w:rPr>
              <w:t>Ingrid.lau@fangdalaw.com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4E9D49" w:rsidR="0049405C" w:rsidRPr="00C24D79" w:rsidRDefault="00F955E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F4EEB5" wp14:editId="489874E3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2B3E5CC" w:rsidR="009465FB" w:rsidRPr="00C24D79" w:rsidRDefault="00F955E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955E6">
              <w:rPr>
                <w:rFonts w:ascii="等线" w:eastAsia="等线" w:hAnsi="Times New Roman"/>
                <w:color w:val="000000"/>
                <w:szCs w:val="21"/>
              </w:rPr>
              <w:t>MS. LAU SPECIALIZES IN CROSS-BORDER CAPITAL MARKET TRANSACTIONS, INCLUDING DEBT AND EQUITY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77EB220" w14:textId="77777777" w:rsidR="00F955E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2ACB649" w14:textId="77777777" w:rsidR="00F955E6" w:rsidRDefault="00F955E6" w:rsidP="00F955E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55E6">
        <w:rPr>
          <w:rFonts w:ascii="等线" w:eastAsia="等线" w:hAnsi="等线"/>
          <w:b/>
          <w:sz w:val="24"/>
        </w:rPr>
        <w:t>REPRESENTATIVE MATTERS AND CASES</w:t>
      </w:r>
    </w:p>
    <w:p w14:paraId="2AAB04F5" w14:textId="77777777" w:rsidR="00F955E6" w:rsidRDefault="00F955E6" w:rsidP="00F955E6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55E6">
        <w:rPr>
          <w:rFonts w:ascii="等线" w:eastAsia="等线" w:hAnsi="Times New Roman"/>
          <w:color w:val="000000"/>
        </w:rPr>
        <w:t>Debt securities offerings</w:t>
      </w:r>
    </w:p>
    <w:p w14:paraId="2F4AA739" w14:textId="77777777" w:rsidR="00F955E6" w:rsidRDefault="00F955E6" w:rsidP="00F955E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55E6">
        <w:rPr>
          <w:rFonts w:ascii="等线" w:eastAsia="等线" w:hAnsi="Times New Roman"/>
          <w:color w:val="000000"/>
        </w:rPr>
        <w:t>Advised on the bond offerings of Shandong Commercial Group, Shandong Finance Investment Group, Jinan Rail Transit Group, Jinan Energy Group, Qingdao Bullet Train Town Investment Group, Xi</w:t>
      </w:r>
      <w:r w:rsidRPr="00F955E6">
        <w:rPr>
          <w:rFonts w:ascii="等线" w:eastAsia="等线" w:hAnsi="Times New Roman"/>
          <w:color w:val="000000"/>
        </w:rPr>
        <w:t>’</w:t>
      </w:r>
      <w:r w:rsidRPr="00F955E6">
        <w:rPr>
          <w:rFonts w:ascii="等线" w:eastAsia="等线" w:hAnsi="Times New Roman"/>
          <w:color w:val="000000"/>
        </w:rPr>
        <w:t>an Aerospace High-tech Industry Development Group, Xi</w:t>
      </w:r>
      <w:r w:rsidRPr="00F955E6">
        <w:rPr>
          <w:rFonts w:ascii="等线" w:eastAsia="等线" w:hAnsi="Times New Roman"/>
          <w:color w:val="000000"/>
        </w:rPr>
        <w:t>’</w:t>
      </w:r>
      <w:r w:rsidRPr="00F955E6">
        <w:rPr>
          <w:rFonts w:ascii="等线" w:eastAsia="等线" w:hAnsi="Times New Roman"/>
          <w:color w:val="000000"/>
        </w:rPr>
        <w:t>an Aviation City Construction &amp; Development Group, Zhaoqing Guolian Investment Holding, Ningbo Yincheng Group, Zhenjiang Transportation Industry Group, Yancheng High-tech Zone Investment Group, Huai</w:t>
      </w:r>
      <w:r w:rsidRPr="00F955E6">
        <w:rPr>
          <w:rFonts w:ascii="等线" w:eastAsia="等线" w:hAnsi="Times New Roman"/>
          <w:color w:val="000000"/>
        </w:rPr>
        <w:t>’</w:t>
      </w:r>
      <w:r w:rsidRPr="00F955E6">
        <w:rPr>
          <w:rFonts w:ascii="等线" w:eastAsia="等线" w:hAnsi="Times New Roman"/>
          <w:color w:val="000000"/>
        </w:rPr>
        <w:t>an Investment Holdings Group, and Chongqing Fuling Industrial Development Group</w:t>
      </w:r>
    </w:p>
    <w:p w14:paraId="238B2D05" w14:textId="77777777" w:rsidR="00F955E6" w:rsidRDefault="00F955E6" w:rsidP="00F955E6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55E6">
        <w:rPr>
          <w:rFonts w:ascii="等线" w:eastAsia="等线" w:hAnsi="Times New Roman"/>
          <w:color w:val="000000"/>
        </w:rPr>
        <w:t>Equity offerings</w:t>
      </w:r>
    </w:p>
    <w:p w14:paraId="1DBAECCF" w14:textId="77777777" w:rsidR="00F955E6" w:rsidRDefault="00F955E6" w:rsidP="00F955E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55E6">
        <w:rPr>
          <w:rFonts w:ascii="等线" w:eastAsia="等线" w:hAnsi="Times New Roman"/>
          <w:color w:val="000000"/>
        </w:rPr>
        <w:t xml:space="preserve">Advised on the initial public offerings of Guangzhou Rural Commercial Bank, China Boqi Environment, and COFCO Meat  </w:t>
      </w:r>
      <w:r w:rsidRPr="00F955E6">
        <w:rPr>
          <w:rFonts w:ascii="等线" w:eastAsia="等线" w:hAnsi="Times New Roman"/>
          <w:color w:val="000000"/>
        </w:rPr>
        <w:t> </w:t>
      </w:r>
      <w:r w:rsidRPr="00F955E6">
        <w:rPr>
          <w:rFonts w:ascii="等线" w:eastAsia="等线" w:hAnsi="Times New Roman"/>
          <w:color w:val="000000"/>
        </w:rPr>
        <w:t xml:space="preserve"> * Includes matters completed prior to joining Fangda</w:t>
      </w:r>
    </w:p>
    <w:p w14:paraId="0648011B" w14:textId="77777777" w:rsidR="00F955E6" w:rsidRDefault="00F955E6" w:rsidP="00F955E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55E6">
        <w:rPr>
          <w:rFonts w:ascii="等线" w:eastAsia="等线" w:hAnsi="等线"/>
          <w:b/>
          <w:sz w:val="24"/>
        </w:rPr>
        <w:t>Education</w:t>
      </w:r>
    </w:p>
    <w:p w14:paraId="34447F44" w14:textId="77777777" w:rsidR="00F955E6" w:rsidRDefault="00F955E6" w:rsidP="00F955E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55E6">
        <w:rPr>
          <w:rFonts w:ascii="等线" w:eastAsia="等线" w:hAnsi="Times New Roman"/>
          <w:color w:val="000000"/>
        </w:rPr>
        <w:t>University of Chicago Law School, LL.M.</w:t>
      </w:r>
    </w:p>
    <w:p w14:paraId="1FB33B40" w14:textId="77777777" w:rsidR="00F955E6" w:rsidRDefault="00F955E6" w:rsidP="00F955E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55E6">
        <w:rPr>
          <w:rFonts w:ascii="等线" w:eastAsia="等线" w:hAnsi="Times New Roman"/>
          <w:color w:val="000000"/>
        </w:rPr>
        <w:t>Peking University School of Law, LL.M.</w:t>
      </w:r>
    </w:p>
    <w:p w14:paraId="2024EDA8" w14:textId="77777777" w:rsidR="00F955E6" w:rsidRDefault="00F955E6" w:rsidP="00F955E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55E6">
        <w:rPr>
          <w:rFonts w:ascii="等线" w:eastAsia="等线" w:hAnsi="Times New Roman"/>
          <w:color w:val="000000"/>
        </w:rPr>
        <w:t>University of Warwick School of Law and Business School, B.A. (with Honours) in Law and Business Studies (Qualifying Degree) (Joint Degree)</w:t>
      </w:r>
    </w:p>
    <w:p w14:paraId="0E0DAFE1" w14:textId="77777777" w:rsidR="00F955E6" w:rsidRDefault="00F955E6" w:rsidP="00F955E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55E6">
        <w:rPr>
          <w:rFonts w:ascii="等线" w:eastAsia="等线" w:hAnsi="等线"/>
          <w:b/>
          <w:sz w:val="24"/>
        </w:rPr>
        <w:t>Professional Qualification</w:t>
      </w:r>
    </w:p>
    <w:p w14:paraId="2DA099D4" w14:textId="77777777" w:rsidR="00F955E6" w:rsidRDefault="00F955E6" w:rsidP="00F955E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55E6">
        <w:rPr>
          <w:rFonts w:ascii="等线" w:eastAsia="等线" w:hAnsi="Times New Roman"/>
          <w:color w:val="000000"/>
        </w:rPr>
        <w:t>Admitted to practice in New York</w:t>
      </w:r>
    </w:p>
    <w:p w14:paraId="52C59945" w14:textId="77777777" w:rsidR="00F955E6" w:rsidRDefault="00F955E6" w:rsidP="00F955E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55E6">
        <w:rPr>
          <w:rFonts w:ascii="等线" w:eastAsia="等线" w:hAnsi="等线"/>
          <w:b/>
          <w:sz w:val="24"/>
        </w:rPr>
        <w:t>Professional Background</w:t>
      </w:r>
    </w:p>
    <w:p w14:paraId="5567FC3C" w14:textId="0195C0F7" w:rsidR="00686369" w:rsidRPr="00F955E6" w:rsidRDefault="00F955E6" w:rsidP="00F955E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55E6">
        <w:rPr>
          <w:rFonts w:ascii="等线" w:eastAsia="等线" w:hAnsi="Times New Roman"/>
          <w:color w:val="000000"/>
        </w:rPr>
        <w:t>Ms. Lau joined Fangda in 2018. Before joining the firm, she worked at King &amp; Wood Mallesons on cross-border capital market transactions.</w:t>
      </w:r>
    </w:p>
    <w:sectPr w:rsidR="00686369" w:rsidRPr="00F955E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55D"/>
    <w:multiLevelType w:val="singleLevel"/>
    <w:tmpl w:val="5344E7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426B7A"/>
    <w:multiLevelType w:val="singleLevel"/>
    <w:tmpl w:val="D22ED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E2E0BB9"/>
    <w:multiLevelType w:val="singleLevel"/>
    <w:tmpl w:val="D22ED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8711E7D"/>
    <w:multiLevelType w:val="singleLevel"/>
    <w:tmpl w:val="8182C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5A12B6B"/>
    <w:multiLevelType w:val="singleLevel"/>
    <w:tmpl w:val="FBB018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690A04A2"/>
    <w:multiLevelType w:val="singleLevel"/>
    <w:tmpl w:val="6E227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77B22A2F"/>
    <w:multiLevelType w:val="singleLevel"/>
    <w:tmpl w:val="5C406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A887A3E"/>
    <w:multiLevelType w:val="singleLevel"/>
    <w:tmpl w:val="279AB1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55E6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955E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955E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F95380-13C1-4D1E-A4AA-11ED12CF0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2026-05-27T17:48:00Z</dcterms:created>
  <dcterms:modified xsi:type="dcterms:W3CDTF">2026-05-27T17:48:00Z</dcterms:modified>
</cp:coreProperties>
</file>