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A7EEB2" w:rsidR="0049405C" w:rsidRPr="00C24D79" w:rsidRDefault="0030766B" w:rsidP="0030766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0766B">
              <w:rPr>
                <w:rFonts w:ascii="等线" w:eastAsia="等线" w:hAnsi="Times New Roman"/>
                <w:b/>
                <w:color w:val="000000"/>
                <w:sz w:val="48"/>
              </w:rPr>
              <w:t>PENNY POON</w:t>
            </w:r>
            <w:bookmarkEnd w:id="0"/>
          </w:p>
          <w:p w14:paraId="706EB16B" w14:textId="7D7CE6C5" w:rsidR="0049405C" w:rsidRPr="00C24D79" w:rsidRDefault="0030766B" w:rsidP="0030766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0766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0766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0766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BAE180A" w:rsidR="0049405C" w:rsidRPr="00C24D79" w:rsidRDefault="0030766B" w:rsidP="0030766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0766B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0DD16DE" w:rsidR="0049405C" w:rsidRPr="00C24D79" w:rsidRDefault="0030766B" w:rsidP="0030766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0766B">
              <w:rPr>
                <w:rFonts w:ascii="等线" w:eastAsia="等线" w:hAnsi="Times New Roman"/>
                <w:color w:val="000000"/>
              </w:rPr>
              <w:t>penny.poon@fangdalaw.com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56A990" w:rsidR="0049405C" w:rsidRPr="00C24D79" w:rsidRDefault="0030766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B3D40E" wp14:editId="3F5C0D93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CC31751" w:rsidR="009465FB" w:rsidRPr="00C24D79" w:rsidRDefault="0030766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0766B">
              <w:rPr>
                <w:rFonts w:ascii="等线" w:eastAsia="等线" w:hAnsi="Times New Roman"/>
                <w:color w:val="000000"/>
                <w:szCs w:val="21"/>
              </w:rPr>
              <w:t>MS. POON SPECIALIZES IN INSOLVENCY, RESTRUCTURING, AND COMMERCIAL AND FINANCIAL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2703CC" w14:textId="77777777" w:rsidR="0030766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C05AEB2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REPRESENTATIVE MATTERS AND CASES</w:t>
      </w:r>
    </w:p>
    <w:p w14:paraId="75F1287B" w14:textId="77777777" w:rsidR="0030766B" w:rsidRDefault="0030766B" w:rsidP="0030766B">
      <w:pPr>
        <w:pStyle w:val="af5"/>
        <w:spacing w:before="12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INSOLVENCY AND RESTRUCTURING</w:t>
      </w:r>
    </w:p>
    <w:p w14:paraId="0BA972D8" w14:textId="77777777" w:rsidR="0030766B" w:rsidRDefault="0030766B" w:rsidP="0030766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bankruptcy administrator in the liquidation of Shanghai Tongye Coal Chemical Group, the first liquidation case heard by the Shanghai Third Intermediate People's Court</w:t>
      </w:r>
    </w:p>
    <w:p w14:paraId="089DC178" w14:textId="77777777" w:rsidR="0030766B" w:rsidRDefault="0030766B" w:rsidP="0030766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(interim) bankruptcy administrator in ZK Engineering &amp; Development Corporation Headquarters' prepackaged restructuring</w:t>
      </w:r>
    </w:p>
    <w:p w14:paraId="796E89A5" w14:textId="77777777" w:rsidR="0030766B" w:rsidRDefault="0030766B" w:rsidP="0030766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bankruptcy administrator in the reorganization of Dalian Shipbuilding Industry Offshore Co., Ltd</w:t>
      </w:r>
    </w:p>
    <w:p w14:paraId="5EE421B9" w14:textId="77777777" w:rsidR="0030766B" w:rsidRDefault="0030766B" w:rsidP="0030766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joint bankruptcy administrator in the liquidation of CEFC China and its affiliates</w:t>
      </w:r>
    </w:p>
    <w:p w14:paraId="541B0A09" w14:textId="77777777" w:rsidR="0030766B" w:rsidRDefault="0030766B" w:rsidP="0030766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bankruptcy administrator in the insolvency liquidation of Shanghai Jingmao Culture Communication Co., Ltd., a subsidiary of Sohu Group</w:t>
      </w:r>
    </w:p>
    <w:p w14:paraId="6DB06F45" w14:textId="77777777" w:rsidR="0030766B" w:rsidRDefault="0030766B" w:rsidP="0030766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Represented COQAMC as investor in the restructuring for various corporate reorganizations and liquidations</w:t>
      </w:r>
    </w:p>
    <w:p w14:paraId="1821397A" w14:textId="77777777" w:rsidR="0030766B" w:rsidRDefault="0030766B" w:rsidP="0030766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Advised the Creditors</w:t>
      </w:r>
      <w:r w:rsidRPr="0030766B">
        <w:rPr>
          <w:rFonts w:ascii="等线" w:eastAsia="等线" w:hAnsi="Times New Roman"/>
          <w:color w:val="000000"/>
        </w:rPr>
        <w:t>’</w:t>
      </w:r>
      <w:r w:rsidRPr="0030766B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6A1521CA" w14:textId="77777777" w:rsidR="0030766B" w:rsidRDefault="0030766B" w:rsidP="0030766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the (interim) bankruptcy administrator in a listed company</w:t>
      </w:r>
      <w:r w:rsidRPr="0030766B">
        <w:rPr>
          <w:rFonts w:ascii="等线" w:eastAsia="等线" w:hAnsi="Times New Roman"/>
          <w:color w:val="000000"/>
        </w:rPr>
        <w:t>’</w:t>
      </w:r>
      <w:r w:rsidRPr="0030766B">
        <w:rPr>
          <w:rFonts w:ascii="等线" w:eastAsia="等线" w:hAnsi="Times New Roman"/>
          <w:color w:val="000000"/>
        </w:rPr>
        <w:t>s prepackaged restructuring and its controlling shareholder</w:t>
      </w:r>
      <w:r w:rsidRPr="0030766B">
        <w:rPr>
          <w:rFonts w:ascii="等线" w:eastAsia="等线" w:hAnsi="Times New Roman"/>
          <w:color w:val="000000"/>
        </w:rPr>
        <w:t>’</w:t>
      </w:r>
      <w:r w:rsidRPr="0030766B">
        <w:rPr>
          <w:rFonts w:ascii="等线" w:eastAsia="等线" w:hAnsi="Times New Roman"/>
          <w:color w:val="000000"/>
        </w:rPr>
        <w:t>s restructuring</w:t>
      </w:r>
    </w:p>
    <w:p w14:paraId="49FB098A" w14:textId="77777777" w:rsidR="0030766B" w:rsidRDefault="0030766B" w:rsidP="0030766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as the in-charge member in the liquidation and compulsory liquidation for various local companies</w:t>
      </w:r>
    </w:p>
    <w:p w14:paraId="4DC19731" w14:textId="77777777" w:rsidR="0030766B" w:rsidRDefault="0030766B" w:rsidP="0030766B">
      <w:pPr>
        <w:pStyle w:val="af5"/>
        <w:spacing w:before="12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COMMERCIAL AND FINANCIAL DISPUTE RESOLUTION</w:t>
      </w:r>
    </w:p>
    <w:p w14:paraId="605A3BC4" w14:textId="77777777" w:rsidR="0030766B" w:rsidRDefault="0030766B" w:rsidP="0030766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Represented a state-owned listed company in a series contracts disputes</w:t>
      </w:r>
    </w:p>
    <w:p w14:paraId="374D0BF7" w14:textId="77777777" w:rsidR="0030766B" w:rsidRDefault="0030766B" w:rsidP="0030766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4D9534F9" w14:textId="77777777" w:rsidR="0030766B" w:rsidRDefault="0030766B" w:rsidP="0030766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Acted for various securities companies in successful legal proceedings on pledged share repurchase agreements after the debtor defaults</w:t>
      </w:r>
    </w:p>
    <w:p w14:paraId="76F7EDF7" w14:textId="77777777" w:rsidR="0030766B" w:rsidRDefault="0030766B" w:rsidP="0030766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Adjudicated nearly a thousand commercial litigation cases during partition in a local primary court</w:t>
      </w:r>
    </w:p>
    <w:p w14:paraId="7128866E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Education</w:t>
      </w:r>
    </w:p>
    <w:p w14:paraId="40A66F21" w14:textId="77777777" w:rsidR="0030766B" w:rsidRDefault="0030766B" w:rsidP="0030766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East China University of Political Science and Law, LL.M.</w:t>
      </w:r>
    </w:p>
    <w:p w14:paraId="3138BF85" w14:textId="77777777" w:rsidR="0030766B" w:rsidRDefault="0030766B" w:rsidP="0030766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East China University of Political Science and Law, LL.B.</w:t>
      </w:r>
    </w:p>
    <w:p w14:paraId="56082703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Professional Qualification</w:t>
      </w:r>
    </w:p>
    <w:p w14:paraId="01D910E6" w14:textId="77777777" w:rsidR="0030766B" w:rsidRDefault="0030766B" w:rsidP="0030766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Admitted to practice in the PRC</w:t>
      </w:r>
    </w:p>
    <w:p w14:paraId="22D3010E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Professional Background</w:t>
      </w:r>
    </w:p>
    <w:p w14:paraId="3ED11061" w14:textId="77777777" w:rsidR="0030766B" w:rsidRDefault="0030766B" w:rsidP="0030766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>Ms. Poon joined Fangda in 2017. Before joining the firm, she worked for a local primary court in Shanghai. Ms. Poon also worked at the Shanghai branch of Beijing Zhonglun Law Firm.</w:t>
      </w:r>
    </w:p>
    <w:p w14:paraId="519A2BB1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OTHER INFORMATION</w:t>
      </w:r>
    </w:p>
    <w:p w14:paraId="26DF1F2A" w14:textId="77777777" w:rsidR="0030766B" w:rsidRDefault="0030766B" w:rsidP="0030766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766B">
        <w:rPr>
          <w:rFonts w:ascii="等线" w:eastAsia="等线" w:hAnsi="等线"/>
          <w:b/>
          <w:sz w:val="24"/>
        </w:rPr>
        <w:t>Professional Affiliations</w:t>
      </w:r>
    </w:p>
    <w:p w14:paraId="5567FC3C" w14:textId="230958A5" w:rsidR="00686369" w:rsidRPr="0030766B" w:rsidRDefault="0030766B" w:rsidP="0030766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766B">
        <w:rPr>
          <w:rFonts w:ascii="等线" w:eastAsia="等线" w:hAnsi="Times New Roman"/>
          <w:color w:val="000000"/>
        </w:rPr>
        <w:t xml:space="preserve">Ms. Poon served in the People's Liberation Army. During her service, she was awarded personal third class merit. She still consults for certain units in the People's Liberation Army. </w:t>
      </w:r>
    </w:p>
    <w:sectPr w:rsidR="00686369" w:rsidRPr="0030766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39E4"/>
    <w:multiLevelType w:val="singleLevel"/>
    <w:tmpl w:val="9E20B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7A169C"/>
    <w:multiLevelType w:val="singleLevel"/>
    <w:tmpl w:val="20D62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D051C9"/>
    <w:multiLevelType w:val="singleLevel"/>
    <w:tmpl w:val="08AE7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FB2795"/>
    <w:multiLevelType w:val="singleLevel"/>
    <w:tmpl w:val="71CE4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2B5B14"/>
    <w:multiLevelType w:val="singleLevel"/>
    <w:tmpl w:val="79448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7607F6"/>
    <w:multiLevelType w:val="singleLevel"/>
    <w:tmpl w:val="71322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4F6322"/>
    <w:multiLevelType w:val="singleLevel"/>
    <w:tmpl w:val="3154F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B807EE"/>
    <w:multiLevelType w:val="singleLevel"/>
    <w:tmpl w:val="F7ECA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6D5601"/>
    <w:multiLevelType w:val="singleLevel"/>
    <w:tmpl w:val="CD889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072BA7"/>
    <w:multiLevelType w:val="singleLevel"/>
    <w:tmpl w:val="253A8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DE41A7D"/>
    <w:multiLevelType w:val="singleLevel"/>
    <w:tmpl w:val="0F20B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941AE3"/>
    <w:multiLevelType w:val="singleLevel"/>
    <w:tmpl w:val="254AE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ED1ED8"/>
    <w:multiLevelType w:val="singleLevel"/>
    <w:tmpl w:val="0FC67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F94277"/>
    <w:multiLevelType w:val="singleLevel"/>
    <w:tmpl w:val="230274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2B97F64"/>
    <w:multiLevelType w:val="singleLevel"/>
    <w:tmpl w:val="C9AEC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671110E"/>
    <w:multiLevelType w:val="singleLevel"/>
    <w:tmpl w:val="2E421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1A6C01"/>
    <w:multiLevelType w:val="singleLevel"/>
    <w:tmpl w:val="1E864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A173A0"/>
    <w:multiLevelType w:val="singleLevel"/>
    <w:tmpl w:val="71322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DD7FEA"/>
    <w:multiLevelType w:val="singleLevel"/>
    <w:tmpl w:val="02283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18"/>
  </w:num>
  <w:num w:numId="8">
    <w:abstractNumId w:val="20"/>
  </w:num>
  <w:num w:numId="9">
    <w:abstractNumId w:val="17"/>
  </w:num>
  <w:num w:numId="10">
    <w:abstractNumId w:val="1"/>
  </w:num>
  <w:num w:numId="11">
    <w:abstractNumId w:val="8"/>
  </w:num>
  <w:num w:numId="12">
    <w:abstractNumId w:val="9"/>
  </w:num>
  <w:num w:numId="13">
    <w:abstractNumId w:val="14"/>
  </w:num>
  <w:num w:numId="14">
    <w:abstractNumId w:val="16"/>
  </w:num>
  <w:num w:numId="15">
    <w:abstractNumId w:val="0"/>
  </w:num>
  <w:num w:numId="16">
    <w:abstractNumId w:val="13"/>
  </w:num>
  <w:num w:numId="17">
    <w:abstractNumId w:val="12"/>
  </w:num>
  <w:num w:numId="18">
    <w:abstractNumId w:val="15"/>
  </w:num>
  <w:num w:numId="19">
    <w:abstractNumId w:val="2"/>
  </w:num>
  <w:num w:numId="20">
    <w:abstractNumId w:val="1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0766B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0766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0766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35C42E-0D29-4862-BA10-63589F7D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2026-05-24T17:01:00Z</dcterms:created>
  <dcterms:modified xsi:type="dcterms:W3CDTF">2026-05-24T17:01:00Z</dcterms:modified>
</cp:coreProperties>
</file>