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7ABC79F" w:rsidR="0049405C" w:rsidRPr="00C24D79" w:rsidRDefault="00FE70F9" w:rsidP="00FE70F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E70F9">
              <w:rPr>
                <w:rFonts w:ascii="等线" w:eastAsia="等线" w:hAnsi="Times New Roman"/>
                <w:b/>
                <w:color w:val="000000"/>
                <w:sz w:val="48"/>
              </w:rPr>
              <w:t>EMILY YU</w:t>
            </w:r>
            <w:bookmarkEnd w:id="0"/>
          </w:p>
          <w:p w14:paraId="706EB16B" w14:textId="7416063C" w:rsidR="0049405C" w:rsidRPr="00C24D79" w:rsidRDefault="00FE70F9" w:rsidP="00FE70F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E70F9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FE70F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E70F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BFA2615" w:rsidR="0049405C" w:rsidRPr="00C24D79" w:rsidRDefault="00FE70F9" w:rsidP="00FE70F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E70F9">
              <w:rPr>
                <w:rFonts w:ascii="等线" w:eastAsia="等线" w:hAnsi="Times New Roman"/>
                <w:color w:val="000000"/>
              </w:rPr>
              <w:t xml:space="preserve">+86 21 2208 1071 </w:t>
            </w:r>
            <w:bookmarkEnd w:id="3"/>
          </w:p>
          <w:p w14:paraId="4F910ACA" w14:textId="1693B7E4" w:rsidR="0049405C" w:rsidRPr="00C24D79" w:rsidRDefault="00FE70F9" w:rsidP="00FE70F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E70F9">
              <w:rPr>
                <w:rFonts w:ascii="等线" w:eastAsia="等线" w:hAnsi="Times New Roman"/>
                <w:color w:val="000000"/>
              </w:rPr>
              <w:t>emily.yu@fangdalaw.com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3A3C48D" w:rsidR="0049405C" w:rsidRPr="00C24D79" w:rsidRDefault="00FE70F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CB80B65" wp14:editId="390D49B1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C026B83" w:rsidR="009465FB" w:rsidRPr="00C24D79" w:rsidRDefault="00FE70F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E70F9">
              <w:rPr>
                <w:rFonts w:ascii="等线" w:eastAsia="等线" w:hAnsi="Times New Roman"/>
                <w:color w:val="000000"/>
                <w:szCs w:val="21"/>
              </w:rPr>
              <w:t>MS. YU SPECIALIZES IN PRIVATE FUND FORMATION, FINANCIAL COMPLIANCE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0135D59" w14:textId="77777777" w:rsidR="00FE70F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7A45E77" w14:textId="77777777" w:rsidR="00FE70F9" w:rsidRDefault="00FE70F9" w:rsidP="00FE70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E70F9">
        <w:rPr>
          <w:rFonts w:ascii="等线" w:eastAsia="等线" w:hAnsi="等线"/>
          <w:b/>
          <w:sz w:val="24"/>
        </w:rPr>
        <w:t>REPRESENTATIVE MATTERS AND CASES</w:t>
      </w:r>
    </w:p>
    <w:p w14:paraId="11922726" w14:textId="77777777" w:rsidR="00FE70F9" w:rsidRDefault="00FE70F9" w:rsidP="00FE70F9">
      <w:pPr>
        <w:pStyle w:val="af5"/>
        <w:spacing w:before="12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PRIVATE FUND FORMATION (SPONSOR-SIDE)</w:t>
      </w:r>
    </w:p>
    <w:p w14:paraId="17149034" w14:textId="77777777" w:rsidR="00FE70F9" w:rsidRDefault="00FE70F9" w:rsidP="00FE70F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Represented Fourrivers in the formation of Fourrivers Steel Industry Fund and the bankruptcy reorganization of Chongqing Steel and advised on its subsequent fund formation and daily compliance matters</w:t>
      </w:r>
    </w:p>
    <w:p w14:paraId="306DA824" w14:textId="77777777" w:rsidR="00FE70F9" w:rsidRDefault="00FE70F9" w:rsidP="00FE70F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Represented Canada Power Corporation in the formation and registration of a wholly foreign-owned Private Securities Fund Manager (PFM) and advised on its daily compliance matters</w:t>
      </w:r>
    </w:p>
    <w:p w14:paraId="1CAB9F34" w14:textId="77777777" w:rsidR="00FE70F9" w:rsidRDefault="00FE70F9" w:rsidP="00FE70F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Represented Probitas Capital in the formation and registration of a private equity/venture capital investment fund manager and advised on its subsequent fund formation and daily compliance matters</w:t>
      </w:r>
    </w:p>
    <w:p w14:paraId="2A028B14" w14:textId="77777777" w:rsidR="00FE70F9" w:rsidRDefault="00FE70F9" w:rsidP="00FE70F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Represented Cainiao Network in the formation of its first RMB logistics and warehousing fund with China Life and advised on its daily compliance matters</w:t>
      </w:r>
    </w:p>
    <w:p w14:paraId="099D7049" w14:textId="77777777" w:rsidR="00FE70F9" w:rsidRDefault="00FE70F9" w:rsidP="00FE70F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Represented Yunfeng Capital in the formation of its RMB Fund IV and several special purpose funds and advised on its daily compliance matters</w:t>
      </w:r>
    </w:p>
    <w:p w14:paraId="33F0C7A7" w14:textId="77777777" w:rsidR="00FE70F9" w:rsidRDefault="00FE70F9" w:rsidP="00FE70F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Represented CapitalLand Investment for the formation of its first China Business Park Core RMB Fund (CBPCF) I and advised on its subsequent fund formation and daily compliance matters</w:t>
      </w:r>
    </w:p>
    <w:p w14:paraId="10CCA28A" w14:textId="77777777" w:rsidR="00FE70F9" w:rsidRDefault="00FE70F9" w:rsidP="00FE70F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Represented Vision Knight Capital in the formation of the RMB Fund III and its parallel fund and advised on its subsequent fund formation and daily compliance matters</w:t>
      </w:r>
    </w:p>
    <w:p w14:paraId="3ADC22CB" w14:textId="77777777" w:rsidR="00FE70F9" w:rsidRDefault="00FE70F9" w:rsidP="00FE70F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Represented Cedarlake Capital in the formation of the Anhui Yunhui Digital Culture Technology Investment Fund and its feeder fund</w:t>
      </w:r>
    </w:p>
    <w:p w14:paraId="14CEAD08" w14:textId="77777777" w:rsidR="00FE70F9" w:rsidRDefault="00FE70F9" w:rsidP="00FE70F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Represented GGV Capital in the formation of the RMB Fund II together with its parallel fund and feeder fund</w:t>
      </w:r>
    </w:p>
    <w:p w14:paraId="77CFB06E" w14:textId="77777777" w:rsidR="00FE70F9" w:rsidRDefault="00FE70F9" w:rsidP="00FE70F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Represented Yixing Everbright Investment in the formation of its RMB Fund III</w:t>
      </w:r>
    </w:p>
    <w:p w14:paraId="0415BE3D" w14:textId="77777777" w:rsidR="00FE70F9" w:rsidRDefault="00FE70F9" w:rsidP="00FE70F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Represented CICC Capital in the formation of several RMB funds</w:t>
      </w:r>
    </w:p>
    <w:p w14:paraId="6AE13926" w14:textId="77777777" w:rsidR="00FE70F9" w:rsidRDefault="00FE70F9" w:rsidP="00FE70F9">
      <w:pPr>
        <w:pStyle w:val="af5"/>
        <w:spacing w:before="12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PRIVATE FUND FORMATION (INVESTOR-SIDE)</w:t>
      </w:r>
    </w:p>
    <w:p w14:paraId="274E7299" w14:textId="77777777" w:rsidR="00FE70F9" w:rsidRDefault="00FE70F9" w:rsidP="00FE70F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Advised Philips on its investment in the RMB Fund VII of Qiming Venture Partners</w:t>
      </w:r>
    </w:p>
    <w:p w14:paraId="372D3199" w14:textId="77777777" w:rsidR="00FE70F9" w:rsidRDefault="00FE70F9" w:rsidP="00FE70F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Advised Solvay on its investment in the RMB Fund III of Richland Capital</w:t>
      </w:r>
    </w:p>
    <w:p w14:paraId="05DB044E" w14:textId="77777777" w:rsidR="00FE70F9" w:rsidRDefault="00FE70F9" w:rsidP="00FE70F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Advised China Life Fund on its investment in the Tonghe Fund II of Frontline BioVentures</w:t>
      </w:r>
    </w:p>
    <w:p w14:paraId="7023BA59" w14:textId="77777777" w:rsidR="00FE70F9" w:rsidRDefault="00FE70F9" w:rsidP="00FE70F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Advised CICC Guiding Fund on its investments in several downstream funds</w:t>
      </w:r>
    </w:p>
    <w:p w14:paraId="59A4AC63" w14:textId="77777777" w:rsidR="00FE70F9" w:rsidRDefault="00FE70F9" w:rsidP="00FE70F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Advised CCB Life AMC on its parent company CCB Life</w:t>
      </w:r>
      <w:r w:rsidRPr="00FE70F9">
        <w:rPr>
          <w:rFonts w:ascii="等线" w:eastAsia="等线" w:hAnsi="Times New Roman"/>
          <w:color w:val="000000"/>
        </w:rPr>
        <w:t>’</w:t>
      </w:r>
      <w:r w:rsidRPr="00FE70F9">
        <w:rPr>
          <w:rFonts w:ascii="等线" w:eastAsia="等线" w:hAnsi="Times New Roman"/>
          <w:color w:val="000000"/>
        </w:rPr>
        <w:t>s investments in several downstream funds and advised CCB Life AMC on its daily compliance matters as an insurance asset management company</w:t>
      </w:r>
    </w:p>
    <w:p w14:paraId="66F2C813" w14:textId="77777777" w:rsidR="00FE70F9" w:rsidRDefault="00FE70F9" w:rsidP="00FE70F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Advised Bank of Nanjing on its investment in Shanghai Integrated Circuit Equipment and Materials Industry Investment Fund through a single fund trust</w:t>
      </w:r>
    </w:p>
    <w:p w14:paraId="08852652" w14:textId="77777777" w:rsidR="00FE70F9" w:rsidRDefault="00FE70F9" w:rsidP="00FE70F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Advised Shanghai S&amp;T Innovation Center Fund I on its investment in Detong Capital Fund</w:t>
      </w:r>
    </w:p>
    <w:p w14:paraId="5852B317" w14:textId="77777777" w:rsidR="00FE70F9" w:rsidRDefault="00FE70F9" w:rsidP="00FE70F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Advised Venture Capital Guiding Fund of Shanghai on its investments in several downstream funds</w:t>
      </w:r>
    </w:p>
    <w:p w14:paraId="7E3E09F8" w14:textId="77777777" w:rsidR="00FE70F9" w:rsidRDefault="00FE70F9" w:rsidP="00FE70F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Advised a Ningbo enterprise on its investment in a CITIC Capital Fund</w:t>
      </w:r>
    </w:p>
    <w:p w14:paraId="5E3771EA" w14:textId="77777777" w:rsidR="00FE70F9" w:rsidRDefault="00FE70F9" w:rsidP="00FE70F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Advised CPIC on its investment in a Blackstone overseas open-ended real estate fund</w:t>
      </w:r>
    </w:p>
    <w:p w14:paraId="4CA99652" w14:textId="77777777" w:rsidR="00FE70F9" w:rsidRDefault="00FE70F9" w:rsidP="00FE70F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Advised ZUIG on its investment in a USD fund</w:t>
      </w:r>
    </w:p>
    <w:p w14:paraId="3541B9F3" w14:textId="77777777" w:rsidR="00FE70F9" w:rsidRDefault="00FE70F9" w:rsidP="00FE70F9">
      <w:pPr>
        <w:pStyle w:val="af5"/>
        <w:spacing w:before="12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FINANCIAL COMPLIANCE AND GENERAL CORPORATE MATTERS</w:t>
      </w:r>
    </w:p>
    <w:p w14:paraId="2AC61F12" w14:textId="77777777" w:rsidR="00FE70F9" w:rsidRDefault="00FE70F9" w:rsidP="00FE70F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Advised TPG</w:t>
      </w:r>
      <w:r w:rsidRPr="00FE70F9">
        <w:rPr>
          <w:rFonts w:ascii="等线" w:eastAsia="等线" w:hAnsi="Times New Roman"/>
          <w:color w:val="000000"/>
        </w:rPr>
        <w:t>’</w:t>
      </w:r>
      <w:r w:rsidRPr="00FE70F9">
        <w:rPr>
          <w:rFonts w:ascii="等线" w:eastAsia="等线" w:hAnsi="Times New Roman"/>
          <w:color w:val="000000"/>
        </w:rPr>
        <w:t>s two RMB Funds and one QFLP Fund established in Shanghai and Chongqing on daily compliance matters</w:t>
      </w:r>
    </w:p>
    <w:p w14:paraId="1DB42795" w14:textId="77777777" w:rsidR="00FE70F9" w:rsidRDefault="00FE70F9" w:rsidP="00FE70F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Advised Blackstone</w:t>
      </w:r>
      <w:r w:rsidRPr="00FE70F9">
        <w:rPr>
          <w:rFonts w:ascii="等线" w:eastAsia="等线" w:hAnsi="Times New Roman"/>
          <w:color w:val="000000"/>
        </w:rPr>
        <w:t>’</w:t>
      </w:r>
      <w:r w:rsidRPr="00FE70F9">
        <w:rPr>
          <w:rFonts w:ascii="等线" w:eastAsia="等线" w:hAnsi="Times New Roman"/>
          <w:color w:val="000000"/>
        </w:rPr>
        <w:t>s QFLP Fund established in Shanghai on daily compliance matters</w:t>
      </w:r>
    </w:p>
    <w:p w14:paraId="60CA38AC" w14:textId="77777777" w:rsidR="00FE70F9" w:rsidRDefault="00FE70F9" w:rsidP="00FE70F9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Advised Invesco</w:t>
      </w:r>
      <w:r w:rsidRPr="00FE70F9">
        <w:rPr>
          <w:rFonts w:ascii="等线" w:eastAsia="等线" w:hAnsi="Times New Roman"/>
          <w:color w:val="000000"/>
        </w:rPr>
        <w:t>’</w:t>
      </w:r>
      <w:r w:rsidRPr="00FE70F9">
        <w:rPr>
          <w:rFonts w:ascii="等线" w:eastAsia="等线" w:hAnsi="Times New Roman"/>
          <w:color w:val="000000"/>
        </w:rPr>
        <w:t>s QFLP Fund and other entities established in Shanghai and Shenzhen on daily compliance matters</w:t>
      </w:r>
    </w:p>
    <w:p w14:paraId="555BD9B6" w14:textId="77777777" w:rsidR="00FE70F9" w:rsidRDefault="00FE70F9" w:rsidP="00FE70F9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Advised Abax</w:t>
      </w:r>
      <w:r w:rsidRPr="00FE70F9">
        <w:rPr>
          <w:rFonts w:ascii="等线" w:eastAsia="等线" w:hAnsi="Times New Roman"/>
          <w:color w:val="000000"/>
        </w:rPr>
        <w:t>’</w:t>
      </w:r>
      <w:r w:rsidRPr="00FE70F9">
        <w:rPr>
          <w:rFonts w:ascii="等线" w:eastAsia="等线" w:hAnsi="Times New Roman"/>
          <w:color w:val="000000"/>
        </w:rPr>
        <w:t>s RMB funds on daily compliance matters</w:t>
      </w:r>
    </w:p>
    <w:p w14:paraId="0466FD2C" w14:textId="77777777" w:rsidR="00FE70F9" w:rsidRDefault="00FE70F9" w:rsidP="00FE70F9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Advised Zhong Ou AMC, a subsidiary of a PRC fund management company, on daily compliance matters</w:t>
      </w:r>
    </w:p>
    <w:p w14:paraId="575A8EF7" w14:textId="77777777" w:rsidR="00FE70F9" w:rsidRDefault="00FE70F9" w:rsidP="00FE70F9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Advised several renowned companies on general corporate matters, deal structuring, liquidation, de-registration and litigation in connection with private fund related matters</w:t>
      </w:r>
    </w:p>
    <w:p w14:paraId="7AA1E26E" w14:textId="77777777" w:rsidR="00FE70F9" w:rsidRDefault="00FE70F9" w:rsidP="00FE70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E70F9">
        <w:rPr>
          <w:rFonts w:ascii="等线" w:eastAsia="等线" w:hAnsi="等线"/>
          <w:b/>
          <w:sz w:val="24"/>
        </w:rPr>
        <w:t>Education</w:t>
      </w:r>
    </w:p>
    <w:p w14:paraId="3E571FD5" w14:textId="77777777" w:rsidR="00FE70F9" w:rsidRDefault="00FE70F9" w:rsidP="00FE70F9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Emory University School of Law, LL.M.</w:t>
      </w:r>
    </w:p>
    <w:p w14:paraId="754C8C4A" w14:textId="77777777" w:rsidR="00FE70F9" w:rsidRDefault="00FE70F9" w:rsidP="00FE70F9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Shanghai Jiao Tong University School of Law, LL.M.</w:t>
      </w:r>
    </w:p>
    <w:p w14:paraId="5368DD2E" w14:textId="77777777" w:rsidR="00FE70F9" w:rsidRDefault="00FE70F9" w:rsidP="00FE70F9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Shanghai Jiao Tong University School of Law, LL.B.</w:t>
      </w:r>
    </w:p>
    <w:p w14:paraId="2F6A4DEB" w14:textId="77777777" w:rsidR="00FE70F9" w:rsidRDefault="00FE70F9" w:rsidP="00FE70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E70F9">
        <w:rPr>
          <w:rFonts w:ascii="等线" w:eastAsia="等线" w:hAnsi="等线"/>
          <w:b/>
          <w:sz w:val="24"/>
        </w:rPr>
        <w:t>Professional Qualification</w:t>
      </w:r>
    </w:p>
    <w:p w14:paraId="5F721CEF" w14:textId="77777777" w:rsidR="00FE70F9" w:rsidRDefault="00FE70F9" w:rsidP="00FE70F9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Admitted to practice in the PRC</w:t>
      </w:r>
    </w:p>
    <w:p w14:paraId="155F9472" w14:textId="77777777" w:rsidR="00FE70F9" w:rsidRDefault="00FE70F9" w:rsidP="00FE70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E70F9">
        <w:rPr>
          <w:rFonts w:ascii="等线" w:eastAsia="等线" w:hAnsi="等线"/>
          <w:b/>
          <w:sz w:val="24"/>
        </w:rPr>
        <w:t>Professional Background</w:t>
      </w:r>
    </w:p>
    <w:p w14:paraId="5567FC3C" w14:textId="0ECE96EF" w:rsidR="00686369" w:rsidRPr="00FE70F9" w:rsidRDefault="00FE70F9" w:rsidP="00FE70F9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E70F9">
        <w:rPr>
          <w:rFonts w:ascii="等线" w:eastAsia="等线" w:hAnsi="Times New Roman"/>
          <w:color w:val="000000"/>
        </w:rPr>
        <w:t>Ms. Yu joined Fangda Partners in 2016.</w:t>
      </w:r>
    </w:p>
    <w:sectPr w:rsidR="00686369" w:rsidRPr="00FE70F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7676"/>
    <w:multiLevelType w:val="singleLevel"/>
    <w:tmpl w:val="086209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27705B"/>
    <w:multiLevelType w:val="singleLevel"/>
    <w:tmpl w:val="2E82A3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944AE4"/>
    <w:multiLevelType w:val="singleLevel"/>
    <w:tmpl w:val="F8E866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6581F0A"/>
    <w:multiLevelType w:val="singleLevel"/>
    <w:tmpl w:val="81D090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8263855"/>
    <w:multiLevelType w:val="singleLevel"/>
    <w:tmpl w:val="4D007D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AC14D9B"/>
    <w:multiLevelType w:val="singleLevel"/>
    <w:tmpl w:val="2304C0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E310EB4"/>
    <w:multiLevelType w:val="singleLevel"/>
    <w:tmpl w:val="21FE7D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EB20553"/>
    <w:multiLevelType w:val="singleLevel"/>
    <w:tmpl w:val="2BC208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F26674B"/>
    <w:multiLevelType w:val="singleLevel"/>
    <w:tmpl w:val="18107B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1645B03"/>
    <w:multiLevelType w:val="singleLevel"/>
    <w:tmpl w:val="1868D0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3252840"/>
    <w:multiLevelType w:val="singleLevel"/>
    <w:tmpl w:val="7006F3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6DA5A2B"/>
    <w:multiLevelType w:val="singleLevel"/>
    <w:tmpl w:val="156C4C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D3241F6"/>
    <w:multiLevelType w:val="singleLevel"/>
    <w:tmpl w:val="EBA834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6D6077C"/>
    <w:multiLevelType w:val="singleLevel"/>
    <w:tmpl w:val="90D6F7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73F2015"/>
    <w:multiLevelType w:val="singleLevel"/>
    <w:tmpl w:val="5414D9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C91383E"/>
    <w:multiLevelType w:val="singleLevel"/>
    <w:tmpl w:val="7702F0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D274DE3"/>
    <w:multiLevelType w:val="singleLevel"/>
    <w:tmpl w:val="AC721A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D9B1549"/>
    <w:multiLevelType w:val="singleLevel"/>
    <w:tmpl w:val="59AA47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27A0811"/>
    <w:multiLevelType w:val="singleLevel"/>
    <w:tmpl w:val="9FFABF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7BC3538"/>
    <w:multiLevelType w:val="singleLevel"/>
    <w:tmpl w:val="B68CAD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B6F1967"/>
    <w:multiLevelType w:val="singleLevel"/>
    <w:tmpl w:val="356A71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CAA4AE3"/>
    <w:multiLevelType w:val="singleLevel"/>
    <w:tmpl w:val="190403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F720AC6"/>
    <w:multiLevelType w:val="singleLevel"/>
    <w:tmpl w:val="8B328F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0AD41C4"/>
    <w:multiLevelType w:val="singleLevel"/>
    <w:tmpl w:val="DA8489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25145C3"/>
    <w:multiLevelType w:val="singleLevel"/>
    <w:tmpl w:val="FDA68E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3826F7D"/>
    <w:multiLevelType w:val="singleLevel"/>
    <w:tmpl w:val="A4E68A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990443F"/>
    <w:multiLevelType w:val="singleLevel"/>
    <w:tmpl w:val="B00C34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A437DD9"/>
    <w:multiLevelType w:val="singleLevel"/>
    <w:tmpl w:val="4D007D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CD50FCB"/>
    <w:multiLevelType w:val="singleLevel"/>
    <w:tmpl w:val="2C0668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21637C8"/>
    <w:multiLevelType w:val="singleLevel"/>
    <w:tmpl w:val="03A428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1772B6A"/>
    <w:multiLevelType w:val="singleLevel"/>
    <w:tmpl w:val="B6F08B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19523DF"/>
    <w:multiLevelType w:val="singleLevel"/>
    <w:tmpl w:val="9BAEDE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7827F09"/>
    <w:multiLevelType w:val="singleLevel"/>
    <w:tmpl w:val="0D76DD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9E93FE6"/>
    <w:multiLevelType w:val="singleLevel"/>
    <w:tmpl w:val="CAB41A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6"/>
  </w:num>
  <w:num w:numId="3">
    <w:abstractNumId w:val="35"/>
  </w:num>
  <w:num w:numId="4">
    <w:abstractNumId w:val="17"/>
  </w:num>
  <w:num w:numId="5">
    <w:abstractNumId w:val="12"/>
  </w:num>
  <w:num w:numId="6">
    <w:abstractNumId w:val="28"/>
  </w:num>
  <w:num w:numId="7">
    <w:abstractNumId w:val="32"/>
  </w:num>
  <w:num w:numId="8">
    <w:abstractNumId w:val="33"/>
  </w:num>
  <w:num w:numId="9">
    <w:abstractNumId w:val="22"/>
  </w:num>
  <w:num w:numId="10">
    <w:abstractNumId w:val="23"/>
  </w:num>
  <w:num w:numId="11">
    <w:abstractNumId w:val="2"/>
  </w:num>
  <w:num w:numId="12">
    <w:abstractNumId w:val="26"/>
  </w:num>
  <w:num w:numId="13">
    <w:abstractNumId w:val="11"/>
  </w:num>
  <w:num w:numId="14">
    <w:abstractNumId w:val="25"/>
  </w:num>
  <w:num w:numId="15">
    <w:abstractNumId w:val="30"/>
  </w:num>
  <w:num w:numId="16">
    <w:abstractNumId w:val="34"/>
  </w:num>
  <w:num w:numId="17">
    <w:abstractNumId w:val="18"/>
  </w:num>
  <w:num w:numId="18">
    <w:abstractNumId w:val="9"/>
  </w:num>
  <w:num w:numId="19">
    <w:abstractNumId w:val="21"/>
  </w:num>
  <w:num w:numId="20">
    <w:abstractNumId w:val="6"/>
  </w:num>
  <w:num w:numId="21">
    <w:abstractNumId w:val="31"/>
  </w:num>
  <w:num w:numId="22">
    <w:abstractNumId w:val="27"/>
  </w:num>
  <w:num w:numId="23">
    <w:abstractNumId w:val="5"/>
  </w:num>
  <w:num w:numId="24">
    <w:abstractNumId w:val="20"/>
  </w:num>
  <w:num w:numId="25">
    <w:abstractNumId w:val="15"/>
  </w:num>
  <w:num w:numId="26">
    <w:abstractNumId w:val="10"/>
  </w:num>
  <w:num w:numId="27">
    <w:abstractNumId w:val="1"/>
  </w:num>
  <w:num w:numId="28">
    <w:abstractNumId w:val="13"/>
  </w:num>
  <w:num w:numId="29">
    <w:abstractNumId w:val="19"/>
  </w:num>
  <w:num w:numId="30">
    <w:abstractNumId w:val="8"/>
  </w:num>
  <w:num w:numId="31">
    <w:abstractNumId w:val="3"/>
  </w:num>
  <w:num w:numId="32">
    <w:abstractNumId w:val="0"/>
  </w:num>
  <w:num w:numId="33">
    <w:abstractNumId w:val="7"/>
  </w:num>
  <w:num w:numId="34">
    <w:abstractNumId w:val="24"/>
  </w:num>
  <w:num w:numId="35">
    <w:abstractNumId w:val="29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  <w:rsid w:val="00FE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E70F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E70F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44817CC-0D2B-4D1E-9E46-C7E75A748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581</Words>
  <Characters>3317</Characters>
  <Application>Microsoft Office Word</Application>
  <DocSecurity>0</DocSecurity>
  <Lines>27</Lines>
  <Paragraphs>7</Paragraphs>
  <ScaleCrop>false</ScaleCrop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2026-09-13T23:46:00Z</dcterms:created>
  <dcterms:modified xsi:type="dcterms:W3CDTF">2026-09-13T23:46:00Z</dcterms:modified>
</cp:coreProperties>
</file>