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6A043764" w:rsidR="0049405C" w:rsidRPr="00C24D79" w:rsidRDefault="00EF5404" w:rsidP="00EF5404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EF5404">
              <w:rPr>
                <w:rFonts w:ascii="等线" w:eastAsia="等线" w:hAnsi="Times New Roman"/>
                <w:b/>
                <w:color w:val="000000"/>
                <w:sz w:val="48"/>
              </w:rPr>
              <w:t>YIZHU MAO</w:t>
            </w:r>
            <w:bookmarkEnd w:id="0"/>
          </w:p>
          <w:p w14:paraId="706EB16B" w14:textId="3ECDEFBD" w:rsidR="0049405C" w:rsidRPr="00C24D79" w:rsidRDefault="00EF5404" w:rsidP="00EF5404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EF5404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EF5404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EF5404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7D72FB86" w:rsidR="0049405C" w:rsidRPr="00C24D79" w:rsidRDefault="00EF5404" w:rsidP="00EF5404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EF5404">
              <w:rPr>
                <w:rFonts w:ascii="等线" w:eastAsia="等线" w:hAnsi="Times New Roman"/>
                <w:color w:val="000000"/>
              </w:rPr>
              <w:t xml:space="preserve">+86 10 5769 4273 </w:t>
            </w:r>
            <w:bookmarkEnd w:id="3"/>
          </w:p>
          <w:p w14:paraId="4F910ACA" w14:textId="3F284A07" w:rsidR="0049405C" w:rsidRPr="00C24D79" w:rsidRDefault="00EF5404" w:rsidP="00EF5404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EF5404">
              <w:rPr>
                <w:rFonts w:ascii="等线" w:eastAsia="等线" w:hAnsi="Times New Roman"/>
                <w:color w:val="000000"/>
              </w:rPr>
              <w:t>yizhu.mao@fangdalaw.com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0EFD3989" w:rsidR="0049405C" w:rsidRPr="00C24D79" w:rsidRDefault="00EF5404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2394F4AB" wp14:editId="3E682E0A">
                  <wp:extent cx="1651000" cy="2159000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59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07ACBC3F" w:rsidR="009465FB" w:rsidRPr="00C24D79" w:rsidRDefault="00EF5404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EF5404">
              <w:rPr>
                <w:rFonts w:ascii="等线" w:eastAsia="等线" w:hAnsi="Times New Roman"/>
                <w:color w:val="000000"/>
                <w:szCs w:val="21"/>
              </w:rPr>
              <w:t>MS. YIZHU MAO</w:t>
            </w:r>
            <w:r w:rsidRPr="00EF5404">
              <w:rPr>
                <w:rFonts w:ascii="等线" w:eastAsia="等线" w:hAnsi="Times New Roman"/>
                <w:color w:val="000000"/>
                <w:szCs w:val="21"/>
              </w:rPr>
              <w:t>’</w:t>
            </w:r>
            <w:r w:rsidRPr="00EF5404">
              <w:rPr>
                <w:rFonts w:ascii="等线" w:eastAsia="等线" w:hAnsi="Times New Roman"/>
                <w:color w:val="000000"/>
                <w:szCs w:val="21"/>
              </w:rPr>
              <w:t>S PRACTICE FOCUSES ON COMPETITION ISSUES RELATING TO MERGER CONTROL, ANTITRUST INVESTIGATIONS, ANTITRUST COMPLIANCE ADVICE, AND ANTITRUST LITIGATIONS.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491A2B7D" w14:textId="77777777" w:rsidR="00EF5404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6BD5DB51" w14:textId="77777777" w:rsidR="00EF5404" w:rsidRDefault="00EF5404" w:rsidP="00EF540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F5404">
        <w:rPr>
          <w:rFonts w:ascii="等线" w:eastAsia="等线" w:hAnsi="等线"/>
          <w:b/>
          <w:sz w:val="24"/>
        </w:rPr>
        <w:t>REPRESENTATIVE MATTERS AND CASES</w:t>
      </w:r>
    </w:p>
    <w:p w14:paraId="0DAAF9E7" w14:textId="77777777" w:rsidR="00EF5404" w:rsidRDefault="00EF5404" w:rsidP="00EF5404">
      <w:pPr>
        <w:pStyle w:val="af5"/>
        <w:spacing w:before="120"/>
        <w:rPr>
          <w:rFonts w:ascii="等线" w:eastAsia="等线" w:hAnsi="Times New Roman"/>
          <w:color w:val="000000"/>
        </w:rPr>
      </w:pPr>
      <w:r w:rsidRPr="00EF5404">
        <w:rPr>
          <w:rFonts w:ascii="等线" w:eastAsia="等线" w:hAnsi="Times New Roman"/>
          <w:color w:val="000000"/>
        </w:rPr>
        <w:t>PRC merger control</w:t>
      </w:r>
    </w:p>
    <w:p w14:paraId="5D8362AA" w14:textId="77777777" w:rsidR="00EF5404" w:rsidRDefault="00EF5404" w:rsidP="00EF5404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5404">
        <w:rPr>
          <w:rFonts w:ascii="等线" w:eastAsia="等线" w:hAnsi="Times New Roman"/>
          <w:color w:val="000000"/>
        </w:rPr>
        <w:t>Advised SK hynix on the Chinese merger filing for its acquisition of Intel</w:t>
      </w:r>
      <w:r w:rsidRPr="00EF5404">
        <w:rPr>
          <w:rFonts w:ascii="等线" w:eastAsia="等线" w:hAnsi="Times New Roman"/>
          <w:color w:val="000000"/>
        </w:rPr>
        <w:t>’</w:t>
      </w:r>
      <w:r w:rsidRPr="00EF5404">
        <w:rPr>
          <w:rFonts w:ascii="等线" w:eastAsia="等线" w:hAnsi="Times New Roman"/>
          <w:color w:val="000000"/>
        </w:rPr>
        <w:t>s NAND and SSD business</w:t>
      </w:r>
    </w:p>
    <w:p w14:paraId="39B99EB9" w14:textId="77777777" w:rsidR="00EF5404" w:rsidRDefault="00EF5404" w:rsidP="00EF5404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5404">
        <w:rPr>
          <w:rFonts w:ascii="等线" w:eastAsia="等线" w:hAnsi="Times New Roman"/>
          <w:color w:val="000000"/>
        </w:rPr>
        <w:t>Advised Infineon on the Chinese merger filing for its acquisition of Cypress and on its establishment of a joint venture with SAIC Motor</w:t>
      </w:r>
    </w:p>
    <w:p w14:paraId="657BC958" w14:textId="77777777" w:rsidR="00EF5404" w:rsidRDefault="00EF5404" w:rsidP="00EF5404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5404">
        <w:rPr>
          <w:rFonts w:ascii="等线" w:eastAsia="等线" w:hAnsi="Times New Roman"/>
          <w:color w:val="000000"/>
        </w:rPr>
        <w:t>Advised Novelis on the Chinese merger filing for its acquisition of Aleris and on its establishment of a joint venture with Kobe Steel</w:t>
      </w:r>
    </w:p>
    <w:p w14:paraId="493CF8ED" w14:textId="77777777" w:rsidR="00EF5404" w:rsidRDefault="00EF5404" w:rsidP="00EF5404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5404">
        <w:rPr>
          <w:rFonts w:ascii="等线" w:eastAsia="等线" w:hAnsi="Times New Roman"/>
          <w:color w:val="000000"/>
        </w:rPr>
        <w:t>Advised Dupont on the Chinese merger filing for its acquisition of Rogers</w:t>
      </w:r>
    </w:p>
    <w:p w14:paraId="7A8734BD" w14:textId="77777777" w:rsidR="00EF5404" w:rsidRDefault="00EF5404" w:rsidP="00EF5404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5404">
        <w:rPr>
          <w:rFonts w:ascii="等线" w:eastAsia="等线" w:hAnsi="Times New Roman"/>
          <w:color w:val="000000"/>
        </w:rPr>
        <w:t>Advised Lumentem on the Chinese merger filing for its acquisition of Oclaro and for its acquisition of NeoPhotonics</w:t>
      </w:r>
    </w:p>
    <w:p w14:paraId="13B3B70C" w14:textId="77777777" w:rsidR="00EF5404" w:rsidRDefault="00EF5404" w:rsidP="00EF5404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5404">
        <w:rPr>
          <w:rFonts w:ascii="等线" w:eastAsia="等线" w:hAnsi="Times New Roman"/>
          <w:color w:val="000000"/>
        </w:rPr>
        <w:t>Advised Broadcom on preparing the Chinese merger filing for its attempted USD 117 billion takeover of Qualcomm</w:t>
      </w:r>
    </w:p>
    <w:p w14:paraId="3E6F1544" w14:textId="77777777" w:rsidR="00EF5404" w:rsidRDefault="00EF5404" w:rsidP="00EF5404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5404">
        <w:rPr>
          <w:rFonts w:ascii="等线" w:eastAsia="等线" w:hAnsi="Times New Roman"/>
          <w:color w:val="000000"/>
        </w:rPr>
        <w:t>Advised Marvell on the Chinese merger filing for its acquisition of Inphi and on the NXP acquisition of part of Marvell's business</w:t>
      </w:r>
    </w:p>
    <w:p w14:paraId="63CDDB02" w14:textId="77777777" w:rsidR="00EF5404" w:rsidRDefault="00EF5404" w:rsidP="00EF5404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5404">
        <w:rPr>
          <w:rFonts w:ascii="等线" w:eastAsia="等线" w:hAnsi="Times New Roman"/>
          <w:color w:val="000000"/>
        </w:rPr>
        <w:t>Advised Microchip on the Chinese merger filing for its acquisition of Microsemi</w:t>
      </w:r>
    </w:p>
    <w:p w14:paraId="35788AAD" w14:textId="77777777" w:rsidR="00EF5404" w:rsidRDefault="00EF5404" w:rsidP="00EF5404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5404">
        <w:rPr>
          <w:rFonts w:ascii="等线" w:eastAsia="等线" w:hAnsi="Times New Roman"/>
          <w:color w:val="000000"/>
        </w:rPr>
        <w:t>Advised Woodward on the Chinese merger filing for its merger with Hexcel</w:t>
      </w:r>
    </w:p>
    <w:p w14:paraId="78A9E462" w14:textId="77777777" w:rsidR="00EF5404" w:rsidRDefault="00EF5404" w:rsidP="00EF5404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5404">
        <w:rPr>
          <w:rFonts w:ascii="等线" w:eastAsia="等线" w:hAnsi="Times New Roman"/>
          <w:color w:val="000000"/>
        </w:rPr>
        <w:t>Advised Dana on the Chinese merger filing for its acquisition of the Drive Systems business of OC Oerlikon Corporation AG, Pf</w:t>
      </w:r>
      <w:r w:rsidRPr="00EF5404">
        <w:rPr>
          <w:rFonts w:ascii="等线" w:eastAsia="等线" w:hAnsi="Times New Roman"/>
          <w:color w:val="000000"/>
        </w:rPr>
        <w:t>ä</w:t>
      </w:r>
      <w:r w:rsidRPr="00EF5404">
        <w:rPr>
          <w:rFonts w:ascii="等线" w:eastAsia="等线" w:hAnsi="Times New Roman"/>
          <w:color w:val="000000"/>
        </w:rPr>
        <w:t>ffikon</w:t>
      </w:r>
    </w:p>
    <w:p w14:paraId="1C8DFF7D" w14:textId="77777777" w:rsidR="00EF5404" w:rsidRDefault="00EF5404" w:rsidP="00EF5404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5404">
        <w:rPr>
          <w:rFonts w:ascii="等线" w:eastAsia="等线" w:hAnsi="Times New Roman"/>
          <w:color w:val="000000"/>
        </w:rPr>
        <w:t>Advised Apollo Management, L.P. on several Chinese merger filings</w:t>
      </w:r>
    </w:p>
    <w:p w14:paraId="549C4D09" w14:textId="77777777" w:rsidR="00EF5404" w:rsidRDefault="00EF5404" w:rsidP="00EF5404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5404">
        <w:rPr>
          <w:rFonts w:ascii="等线" w:eastAsia="等线" w:hAnsi="Times New Roman"/>
          <w:color w:val="000000"/>
        </w:rPr>
        <w:t>Advised Goldman Sachs Group, Inc. on the Chinese merger filing for its acquisition of Boyd Corporation</w:t>
      </w:r>
    </w:p>
    <w:p w14:paraId="73EA06C7" w14:textId="77777777" w:rsidR="00EF5404" w:rsidRDefault="00EF5404" w:rsidP="00EF5404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5404">
        <w:rPr>
          <w:rFonts w:ascii="等线" w:eastAsia="等线" w:hAnsi="Times New Roman"/>
          <w:color w:val="000000"/>
        </w:rPr>
        <w:t>Advised Emerson on the Chinese merger filing for its acquisition of Vulcan, the valves and controls business of Pentair plc</w:t>
      </w:r>
    </w:p>
    <w:p w14:paraId="5D7CF2F9" w14:textId="77777777" w:rsidR="00EF5404" w:rsidRDefault="00EF5404" w:rsidP="00EF5404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5404">
        <w:rPr>
          <w:rFonts w:ascii="等线" w:eastAsia="等线" w:hAnsi="Times New Roman"/>
          <w:color w:val="000000"/>
        </w:rPr>
        <w:t>Advised LyondellBasell on the Chinese merger filing for its acquisition of A. Schulman</w:t>
      </w:r>
    </w:p>
    <w:p w14:paraId="2E38E8F1" w14:textId="77777777" w:rsidR="00EF5404" w:rsidRDefault="00EF5404" w:rsidP="00EF5404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5404">
        <w:rPr>
          <w:rFonts w:ascii="等线" w:eastAsia="等线" w:hAnsi="Times New Roman"/>
          <w:color w:val="000000"/>
        </w:rPr>
        <w:t>Advised China Lodging Holdings (HK) Limited on the Chinese merger filing for its acquisition of Crystal Orange Hotel Holdings</w:t>
      </w:r>
    </w:p>
    <w:p w14:paraId="6DD8240C" w14:textId="77777777" w:rsidR="00EF5404" w:rsidRDefault="00EF5404" w:rsidP="00EF5404">
      <w:pPr>
        <w:pStyle w:val="af5"/>
        <w:spacing w:before="120"/>
        <w:rPr>
          <w:rFonts w:ascii="等线" w:eastAsia="等线" w:hAnsi="Times New Roman"/>
          <w:color w:val="000000"/>
        </w:rPr>
      </w:pPr>
      <w:r w:rsidRPr="00EF5404">
        <w:rPr>
          <w:rFonts w:ascii="等线" w:eastAsia="等线" w:hAnsi="Times New Roman"/>
          <w:color w:val="000000"/>
        </w:rPr>
        <w:t>Antitrust investigation</w:t>
      </w:r>
    </w:p>
    <w:p w14:paraId="625E81E4" w14:textId="77777777" w:rsidR="00EF5404" w:rsidRDefault="00EF5404" w:rsidP="00EF5404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5404">
        <w:rPr>
          <w:rFonts w:ascii="等线" w:eastAsia="等线" w:hAnsi="Times New Roman"/>
          <w:color w:val="000000"/>
        </w:rPr>
        <w:t>Advised an e-commerce company in an abuse of dominance investigation by the PRC antitrust authority</w:t>
      </w:r>
    </w:p>
    <w:p w14:paraId="59FF556A" w14:textId="77777777" w:rsidR="00EF5404" w:rsidRDefault="00EF5404" w:rsidP="00EF5404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5404">
        <w:rPr>
          <w:rFonts w:ascii="等线" w:eastAsia="等线" w:hAnsi="Times New Roman"/>
          <w:color w:val="000000"/>
        </w:rPr>
        <w:t>Advised an international medical device company in an investigation by the PRC antitrust authority</w:t>
      </w:r>
    </w:p>
    <w:p w14:paraId="40C1ED90" w14:textId="77777777" w:rsidR="00EF5404" w:rsidRDefault="00EF5404" w:rsidP="00EF5404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5404">
        <w:rPr>
          <w:rFonts w:ascii="等线" w:eastAsia="等线" w:hAnsi="Times New Roman"/>
          <w:color w:val="000000"/>
        </w:rPr>
        <w:t>Advised an international headphone company in an investigation by the PRC antitrust authority</w:t>
      </w:r>
    </w:p>
    <w:p w14:paraId="37853324" w14:textId="77777777" w:rsidR="00EF5404" w:rsidRDefault="00EF5404" w:rsidP="00EF5404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5404">
        <w:rPr>
          <w:rFonts w:ascii="等线" w:eastAsia="等线" w:hAnsi="Times New Roman"/>
          <w:color w:val="000000"/>
        </w:rPr>
        <w:t>Advised several auto makers in investigations by the PRC antitrust authority</w:t>
      </w:r>
    </w:p>
    <w:p w14:paraId="38E31D17" w14:textId="77777777" w:rsidR="00EF5404" w:rsidRDefault="00EF5404" w:rsidP="00EF5404">
      <w:pPr>
        <w:pStyle w:val="af5"/>
        <w:spacing w:before="120"/>
        <w:rPr>
          <w:rFonts w:ascii="等线" w:eastAsia="等线" w:hAnsi="Times New Roman"/>
          <w:color w:val="000000"/>
        </w:rPr>
      </w:pPr>
      <w:r w:rsidRPr="00EF5404">
        <w:rPr>
          <w:rFonts w:ascii="等线" w:eastAsia="等线" w:hAnsi="Times New Roman"/>
          <w:color w:val="000000"/>
        </w:rPr>
        <w:t>Antitrust Compliance</w:t>
      </w:r>
    </w:p>
    <w:p w14:paraId="2805CE93" w14:textId="77777777" w:rsidR="00EF5404" w:rsidRDefault="00EF5404" w:rsidP="00EF5404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5404">
        <w:rPr>
          <w:rFonts w:ascii="等线" w:eastAsia="等线" w:hAnsi="Times New Roman"/>
          <w:color w:val="000000"/>
        </w:rPr>
        <w:t>Advised a well-known high-tech company on conducting a comprehensive antitrust risk assessment</w:t>
      </w:r>
    </w:p>
    <w:p w14:paraId="13FC920F" w14:textId="77777777" w:rsidR="00EF5404" w:rsidRDefault="00EF5404" w:rsidP="00EF5404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5404">
        <w:rPr>
          <w:rFonts w:ascii="等线" w:eastAsia="等线" w:hAnsi="Times New Roman"/>
          <w:color w:val="000000"/>
        </w:rPr>
        <w:t>Advised an e-commerce company on conducting an internal audit and a comprehensive antitrust risk assessment</w:t>
      </w:r>
    </w:p>
    <w:p w14:paraId="5C5EA982" w14:textId="77777777" w:rsidR="00EF5404" w:rsidRDefault="00EF5404" w:rsidP="00EF5404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5404">
        <w:rPr>
          <w:rFonts w:ascii="等线" w:eastAsia="等线" w:hAnsi="Times New Roman"/>
          <w:color w:val="000000"/>
        </w:rPr>
        <w:t>Advised an international semiconductor equipment company on conducting an internal audit and a comprehensive antitrust risk assessment</w:t>
      </w:r>
    </w:p>
    <w:p w14:paraId="15C32054" w14:textId="77777777" w:rsidR="00EF5404" w:rsidRDefault="00EF5404" w:rsidP="00EF5404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5404">
        <w:rPr>
          <w:rFonts w:ascii="等线" w:eastAsia="等线" w:hAnsi="Times New Roman"/>
          <w:color w:val="000000"/>
        </w:rPr>
        <w:t>Advised a famous automotive manufacturer on its business compliance issues and on its information exchange risks</w:t>
      </w:r>
    </w:p>
    <w:p w14:paraId="381E3E87" w14:textId="77777777" w:rsidR="00EF5404" w:rsidRDefault="00EF5404" w:rsidP="00EF540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F5404">
        <w:rPr>
          <w:rFonts w:ascii="等线" w:eastAsia="等线" w:hAnsi="等线"/>
          <w:b/>
          <w:sz w:val="24"/>
        </w:rPr>
        <w:t>Education</w:t>
      </w:r>
    </w:p>
    <w:p w14:paraId="645AD980" w14:textId="77777777" w:rsidR="00EF5404" w:rsidRDefault="00EF5404" w:rsidP="00EF5404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5404">
        <w:rPr>
          <w:rFonts w:ascii="等线" w:eastAsia="等线" w:hAnsi="Times New Roman"/>
          <w:color w:val="000000"/>
        </w:rPr>
        <w:t>China University of Political Science and Law, LL.M.</w:t>
      </w:r>
    </w:p>
    <w:p w14:paraId="4C56BDBF" w14:textId="77777777" w:rsidR="00EF5404" w:rsidRDefault="00EF5404" w:rsidP="00EF5404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5404">
        <w:rPr>
          <w:rFonts w:ascii="等线" w:eastAsia="等线" w:hAnsi="Times New Roman"/>
          <w:color w:val="000000"/>
        </w:rPr>
        <w:t>Liaoning University, LL.B.</w:t>
      </w:r>
    </w:p>
    <w:p w14:paraId="7250EF49" w14:textId="77777777" w:rsidR="00EF5404" w:rsidRDefault="00EF5404" w:rsidP="00EF540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F5404">
        <w:rPr>
          <w:rFonts w:ascii="等线" w:eastAsia="等线" w:hAnsi="等线"/>
          <w:b/>
          <w:sz w:val="24"/>
        </w:rPr>
        <w:t>Professional Qualification</w:t>
      </w:r>
    </w:p>
    <w:p w14:paraId="48B98115" w14:textId="77777777" w:rsidR="00EF5404" w:rsidRDefault="00EF5404" w:rsidP="00EF5404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5404">
        <w:rPr>
          <w:rFonts w:ascii="等线" w:eastAsia="等线" w:hAnsi="Times New Roman"/>
          <w:color w:val="000000"/>
        </w:rPr>
        <w:t>Admitted to practice in PRC</w:t>
      </w:r>
    </w:p>
    <w:p w14:paraId="49784036" w14:textId="77777777" w:rsidR="00EF5404" w:rsidRDefault="00EF5404" w:rsidP="00EF540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F5404">
        <w:rPr>
          <w:rFonts w:ascii="等线" w:eastAsia="等线" w:hAnsi="等线"/>
          <w:b/>
          <w:sz w:val="24"/>
        </w:rPr>
        <w:t>Work Language</w:t>
      </w:r>
    </w:p>
    <w:p w14:paraId="734BCA12" w14:textId="77777777" w:rsidR="00EF5404" w:rsidRDefault="00EF5404" w:rsidP="00EF5404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5404">
        <w:rPr>
          <w:rFonts w:ascii="等线" w:eastAsia="等线" w:hAnsi="Times New Roman"/>
          <w:color w:val="000000"/>
        </w:rPr>
        <w:t>Chinese</w:t>
      </w:r>
    </w:p>
    <w:p w14:paraId="5567FC3C" w14:textId="3D94084E" w:rsidR="00686369" w:rsidRPr="00EF5404" w:rsidRDefault="00EF5404" w:rsidP="00EF5404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5404">
        <w:rPr>
          <w:rFonts w:ascii="等线" w:eastAsia="等线" w:hAnsi="Times New Roman"/>
          <w:color w:val="000000"/>
        </w:rPr>
        <w:t>English</w:t>
      </w:r>
    </w:p>
    <w:sectPr w:rsidR="00686369" w:rsidRPr="00EF5404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53E2D"/>
    <w:multiLevelType w:val="singleLevel"/>
    <w:tmpl w:val="66787B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5AA7851"/>
    <w:multiLevelType w:val="singleLevel"/>
    <w:tmpl w:val="E61C61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76733EC"/>
    <w:multiLevelType w:val="singleLevel"/>
    <w:tmpl w:val="08726F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A854442"/>
    <w:multiLevelType w:val="singleLevel"/>
    <w:tmpl w:val="ACB292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E4072EA"/>
    <w:multiLevelType w:val="singleLevel"/>
    <w:tmpl w:val="0F7C83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3AA0BF5"/>
    <w:multiLevelType w:val="singleLevel"/>
    <w:tmpl w:val="89283A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4C62929"/>
    <w:multiLevelType w:val="singleLevel"/>
    <w:tmpl w:val="A9A825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A421507"/>
    <w:multiLevelType w:val="singleLevel"/>
    <w:tmpl w:val="4A16AE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7AC1ECB"/>
    <w:multiLevelType w:val="singleLevel"/>
    <w:tmpl w:val="D9DA1A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320B1170"/>
    <w:multiLevelType w:val="singleLevel"/>
    <w:tmpl w:val="8AE879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3CE114A"/>
    <w:multiLevelType w:val="singleLevel"/>
    <w:tmpl w:val="E61C61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8D57F07"/>
    <w:multiLevelType w:val="singleLevel"/>
    <w:tmpl w:val="FCBA1F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4" w15:restartNumberingAfterBreak="0">
    <w:nsid w:val="3E726027"/>
    <w:multiLevelType w:val="singleLevel"/>
    <w:tmpl w:val="F02A26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F4F6DBE"/>
    <w:multiLevelType w:val="singleLevel"/>
    <w:tmpl w:val="53FC72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3153517"/>
    <w:multiLevelType w:val="singleLevel"/>
    <w:tmpl w:val="4680F4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7EF6677"/>
    <w:multiLevelType w:val="singleLevel"/>
    <w:tmpl w:val="81A412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9B55966"/>
    <w:multiLevelType w:val="singleLevel"/>
    <w:tmpl w:val="A290E6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DE45E26"/>
    <w:multiLevelType w:val="singleLevel"/>
    <w:tmpl w:val="1D12BD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2526448"/>
    <w:multiLevelType w:val="singleLevel"/>
    <w:tmpl w:val="6792BB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71C1998"/>
    <w:multiLevelType w:val="singleLevel"/>
    <w:tmpl w:val="D0D28D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0074941"/>
    <w:multiLevelType w:val="singleLevel"/>
    <w:tmpl w:val="42D8C6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2CD13DF"/>
    <w:multiLevelType w:val="singleLevel"/>
    <w:tmpl w:val="778239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523486F"/>
    <w:multiLevelType w:val="singleLevel"/>
    <w:tmpl w:val="A68E04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74A5646"/>
    <w:multiLevelType w:val="singleLevel"/>
    <w:tmpl w:val="834A45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6AD118F4"/>
    <w:multiLevelType w:val="singleLevel"/>
    <w:tmpl w:val="A3AED3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6D122CFB"/>
    <w:multiLevelType w:val="singleLevel"/>
    <w:tmpl w:val="6C7ADB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74C16C3F"/>
    <w:multiLevelType w:val="singleLevel"/>
    <w:tmpl w:val="BE80C4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75A627DD"/>
    <w:multiLevelType w:val="singleLevel"/>
    <w:tmpl w:val="95AC71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7727725E"/>
    <w:multiLevelType w:val="singleLevel"/>
    <w:tmpl w:val="328A54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9"/>
  </w:num>
  <w:num w:numId="2">
    <w:abstractNumId w:val="13"/>
  </w:num>
  <w:num w:numId="3">
    <w:abstractNumId w:val="14"/>
  </w:num>
  <w:num w:numId="4">
    <w:abstractNumId w:val="0"/>
  </w:num>
  <w:num w:numId="5">
    <w:abstractNumId w:val="23"/>
  </w:num>
  <w:num w:numId="6">
    <w:abstractNumId w:val="28"/>
  </w:num>
  <w:num w:numId="7">
    <w:abstractNumId w:val="20"/>
  </w:num>
  <w:num w:numId="8">
    <w:abstractNumId w:val="8"/>
  </w:num>
  <w:num w:numId="9">
    <w:abstractNumId w:val="10"/>
  </w:num>
  <w:num w:numId="10">
    <w:abstractNumId w:val="19"/>
  </w:num>
  <w:num w:numId="11">
    <w:abstractNumId w:val="22"/>
  </w:num>
  <w:num w:numId="12">
    <w:abstractNumId w:val="15"/>
  </w:num>
  <w:num w:numId="13">
    <w:abstractNumId w:val="3"/>
  </w:num>
  <w:num w:numId="14">
    <w:abstractNumId w:val="16"/>
  </w:num>
  <w:num w:numId="15">
    <w:abstractNumId w:val="6"/>
  </w:num>
  <w:num w:numId="16">
    <w:abstractNumId w:val="30"/>
  </w:num>
  <w:num w:numId="17">
    <w:abstractNumId w:val="7"/>
  </w:num>
  <w:num w:numId="18">
    <w:abstractNumId w:val="29"/>
  </w:num>
  <w:num w:numId="19">
    <w:abstractNumId w:val="27"/>
  </w:num>
  <w:num w:numId="20">
    <w:abstractNumId w:val="24"/>
  </w:num>
  <w:num w:numId="21">
    <w:abstractNumId w:val="21"/>
  </w:num>
  <w:num w:numId="22">
    <w:abstractNumId w:val="26"/>
  </w:num>
  <w:num w:numId="23">
    <w:abstractNumId w:val="4"/>
  </w:num>
  <w:num w:numId="24">
    <w:abstractNumId w:val="17"/>
  </w:num>
  <w:num w:numId="25">
    <w:abstractNumId w:val="5"/>
  </w:num>
  <w:num w:numId="26">
    <w:abstractNumId w:val="2"/>
  </w:num>
  <w:num w:numId="27">
    <w:abstractNumId w:val="12"/>
  </w:num>
  <w:num w:numId="28">
    <w:abstractNumId w:val="18"/>
  </w:num>
  <w:num w:numId="29">
    <w:abstractNumId w:val="25"/>
  </w:num>
  <w:num w:numId="30">
    <w:abstractNumId w:val="11"/>
  </w:num>
  <w:num w:numId="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5404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EF5404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EF5404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0C80D38-CC73-4843-8C63-9E326C28B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439</Words>
  <Characters>2508</Characters>
  <Application>Microsoft Office Word</Application>
  <DocSecurity>0</DocSecurity>
  <Lines>20</Lines>
  <Paragraphs>5</Paragraphs>
  <ScaleCrop>false</ScaleCrop>
  <Company/>
  <LinksUpToDate>false</LinksUpToDate>
  <CharactersWithSpaces>2942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2026-10-28T09:06:00Z</dcterms:created>
  <dcterms:modified xsi:type="dcterms:W3CDTF">2026-10-28T09:06:00Z</dcterms:modified>
</cp:coreProperties>
</file>