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003D775" w:rsidR="0049405C" w:rsidRPr="00C24D79" w:rsidRDefault="001F1342" w:rsidP="001F134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F1342">
              <w:rPr>
                <w:rFonts w:ascii="等线" w:eastAsia="等线" w:hAnsi="Times New Roman"/>
                <w:b/>
                <w:color w:val="000000"/>
                <w:sz w:val="48"/>
              </w:rPr>
              <w:t>TRAVIS XU</w:t>
            </w:r>
            <w:bookmarkEnd w:id="0"/>
          </w:p>
          <w:p w14:paraId="706EB16B" w14:textId="6E6D6C2F" w:rsidR="0049405C" w:rsidRPr="00C24D79" w:rsidRDefault="001F1342" w:rsidP="001F134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F1342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76DC2841" w:rsidR="0049405C" w:rsidRPr="00C24D79" w:rsidRDefault="001F1342" w:rsidP="001F134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F1342">
              <w:rPr>
                <w:rFonts w:ascii="等线" w:eastAsia="等线" w:hAnsi="Times New Roman"/>
                <w:color w:val="000000"/>
              </w:rPr>
              <w:t xml:space="preserve">+86 10 5769 4253 </w:t>
            </w:r>
            <w:bookmarkEnd w:id="3"/>
          </w:p>
          <w:p w14:paraId="4F910ACA" w14:textId="77013614" w:rsidR="0049405C" w:rsidRPr="00C24D79" w:rsidRDefault="001F1342" w:rsidP="001F134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F1342">
              <w:rPr>
                <w:rFonts w:ascii="等线" w:eastAsia="等线" w:hAnsi="Times New Roman"/>
                <w:color w:val="000000"/>
              </w:rPr>
              <w:t>travis.xu@fangdalaw.com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8B15FDD" w:rsidR="0049405C" w:rsidRPr="00C24D79" w:rsidRDefault="001F134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7B773EF" wp14:editId="509FFF8B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4848FD6" w:rsidR="009465FB" w:rsidRPr="00C24D79" w:rsidRDefault="001F134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F1342">
              <w:rPr>
                <w:rFonts w:ascii="等线" w:eastAsia="等线" w:hAnsi="Times New Roman"/>
                <w:color w:val="000000"/>
                <w:szCs w:val="21"/>
              </w:rPr>
              <w:t>MR. XU SPECIALIZES IN M&amp;A, PRIVATE EQUITY, CAPITAL MARKETS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39C06F6" w14:textId="77777777" w:rsidR="001F134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C9A8084" w14:textId="77777777" w:rsidR="001F1342" w:rsidRDefault="001F1342" w:rsidP="001F134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F1342">
        <w:rPr>
          <w:rFonts w:ascii="等线" w:eastAsia="等线" w:hAnsi="等线"/>
          <w:b/>
          <w:sz w:val="24"/>
        </w:rPr>
        <w:t>REPRESENTATIVE MATTERS AND CASES</w:t>
      </w:r>
    </w:p>
    <w:p w14:paraId="54E40B75" w14:textId="77777777" w:rsidR="001F1342" w:rsidRDefault="001F1342" w:rsidP="001F1342">
      <w:pPr>
        <w:pStyle w:val="af5"/>
        <w:spacing w:before="12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M&amp;A &amp; Private Equity</w:t>
      </w:r>
    </w:p>
    <w:p w14:paraId="5B76933C" w14:textId="77777777" w:rsidR="001F1342" w:rsidRDefault="001F1342" w:rsidP="001F134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Represented China Music Corporation (now known as TME) in its strategic merger with Tencent Music</w:t>
      </w:r>
    </w:p>
    <w:p w14:paraId="047141E4" w14:textId="77777777" w:rsidR="001F1342" w:rsidRDefault="001F1342" w:rsidP="001F134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Represented Didi Chuxing in its acquisition of Uber China</w:t>
      </w:r>
    </w:p>
    <w:p w14:paraId="026B7AEE" w14:textId="77777777" w:rsidR="001F1342" w:rsidRDefault="001F1342" w:rsidP="001F134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Represented Primavera Capital and Ant Financial Services in their announced investment in Yum! China Holdings Inc.</w:t>
      </w:r>
    </w:p>
    <w:p w14:paraId="1C9C95F3" w14:textId="77777777" w:rsidR="001F1342" w:rsidRDefault="001F1342" w:rsidP="001F134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Represented Alibaba Group in its investment in various TMT companies including ZTESoft, DaLian DragonDream Information Technology Co., Ltd, Baison and YiNian, etc.</w:t>
      </w:r>
    </w:p>
    <w:p w14:paraId="3EC3EEBB" w14:textId="77777777" w:rsidR="001F1342" w:rsidRDefault="001F1342" w:rsidP="001F134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Represented Ant Financial Services/Koubei in its acquisition of Choice System Co., Ltd.</w:t>
      </w:r>
    </w:p>
    <w:p w14:paraId="328AFBA6" w14:textId="77777777" w:rsidR="001F1342" w:rsidRDefault="001F1342" w:rsidP="001F134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Represented ByteDance in its investment in various companies in TMT and other industries</w:t>
      </w:r>
    </w:p>
    <w:p w14:paraId="468D17F8" w14:textId="77777777" w:rsidR="001F1342" w:rsidRDefault="001F1342" w:rsidP="001F134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Represented BeiGene in Amgen Inc.</w:t>
      </w:r>
      <w:r w:rsidRPr="001F1342">
        <w:rPr>
          <w:rFonts w:ascii="等线" w:eastAsia="等线" w:hAnsi="Times New Roman"/>
          <w:color w:val="000000"/>
        </w:rPr>
        <w:t>’</w:t>
      </w:r>
      <w:r w:rsidRPr="001F1342">
        <w:rPr>
          <w:rFonts w:ascii="等线" w:eastAsia="等线" w:hAnsi="Times New Roman"/>
          <w:color w:val="000000"/>
        </w:rPr>
        <w:t>s USD 2.7 billion strategic investment in BeiGene</w:t>
      </w:r>
    </w:p>
    <w:p w14:paraId="5D6B7CF7" w14:textId="77777777" w:rsidR="001F1342" w:rsidRDefault="001F1342" w:rsidP="001F134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Represented BeiGene in Celgene</w:t>
      </w:r>
      <w:r w:rsidRPr="001F1342">
        <w:rPr>
          <w:rFonts w:ascii="等线" w:eastAsia="等线" w:hAnsi="Times New Roman"/>
          <w:color w:val="000000"/>
        </w:rPr>
        <w:t>’</w:t>
      </w:r>
      <w:r w:rsidRPr="001F1342">
        <w:rPr>
          <w:rFonts w:ascii="等线" w:eastAsia="等线" w:hAnsi="Times New Roman"/>
          <w:color w:val="000000"/>
        </w:rPr>
        <w:t>s strategic investment in BeiGene</w:t>
      </w:r>
    </w:p>
    <w:p w14:paraId="40AF0EAC" w14:textId="77777777" w:rsidR="001F1342" w:rsidRDefault="001F1342" w:rsidP="001F134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Represented Chongho Bridge in its investment in various companies in the agriculture and financial industries</w:t>
      </w:r>
    </w:p>
    <w:p w14:paraId="005119DF" w14:textId="77777777" w:rsidR="001F1342" w:rsidRDefault="001F1342" w:rsidP="001F134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Represented TPG in its investment in various companies in the education industry</w:t>
      </w:r>
    </w:p>
    <w:p w14:paraId="4A10EA29" w14:textId="77777777" w:rsidR="001F1342" w:rsidRDefault="001F1342" w:rsidP="001F134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Represented Manbang in its equity financing and consolidation</w:t>
      </w:r>
    </w:p>
    <w:p w14:paraId="2314BF82" w14:textId="77777777" w:rsidR="001F1342" w:rsidRDefault="001F1342" w:rsidP="001F134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Represented Brembo in its acquisition of a brake disc manufacturer</w:t>
      </w:r>
    </w:p>
    <w:p w14:paraId="635A4691" w14:textId="77777777" w:rsidR="001F1342" w:rsidRDefault="001F1342" w:rsidP="001F134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Represented Boyu Capital in the establishment of a joint venture medical institution in Shanghai</w:t>
      </w:r>
    </w:p>
    <w:p w14:paraId="2D9CE405" w14:textId="77777777" w:rsidR="001F1342" w:rsidRDefault="001F1342" w:rsidP="001F134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Represented Qinyuan Industrial in its sale of equity interest in Chongqing New Qinyuan to Swire Group</w:t>
      </w:r>
    </w:p>
    <w:p w14:paraId="780FEEDC" w14:textId="77777777" w:rsidR="001F1342" w:rsidRDefault="001F1342" w:rsidP="001F134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Represented Alibaba Pictures in its investment in Bona Film Group, Dadi Media and other entertainment companies</w:t>
      </w:r>
    </w:p>
    <w:p w14:paraId="04F24A4E" w14:textId="77777777" w:rsidR="001F1342" w:rsidRDefault="001F1342" w:rsidP="001F134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Represented LinkSure in its acquisition of Manman Manga</w:t>
      </w:r>
    </w:p>
    <w:p w14:paraId="3E583CAA" w14:textId="77777777" w:rsidR="001F1342" w:rsidRDefault="001F1342" w:rsidP="001F134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Represented Taikang Asset Management in its overseas investment in the United States, United Kingdom and Japan</w:t>
      </w:r>
    </w:p>
    <w:p w14:paraId="77C1F7C3" w14:textId="77777777" w:rsidR="001F1342" w:rsidRDefault="001F1342" w:rsidP="001F134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Represented KrSpace and other TMT companies in their equity financings</w:t>
      </w:r>
    </w:p>
    <w:p w14:paraId="2F30DF9A" w14:textId="77777777" w:rsidR="001F1342" w:rsidRDefault="001F1342" w:rsidP="001F1342">
      <w:pPr>
        <w:pStyle w:val="af5"/>
        <w:spacing w:before="12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Capital Markets</w:t>
      </w:r>
    </w:p>
    <w:p w14:paraId="75148D8E" w14:textId="77777777" w:rsidR="001F1342" w:rsidRDefault="001F1342" w:rsidP="001F1342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Represented Alibaba Group in its listing on Hong Kong Stock Exchange and issuance of offshore bonds</w:t>
      </w:r>
    </w:p>
    <w:p w14:paraId="235BB710" w14:textId="77777777" w:rsidR="001F1342" w:rsidRDefault="001F1342" w:rsidP="001F1342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Represented BeiGene in its initial public offering and listing on NASDAQ and follow-on offerings in the U.S. and initial public offering and listing on HKSE</w:t>
      </w:r>
    </w:p>
    <w:p w14:paraId="1784EE3B" w14:textId="77777777" w:rsidR="001F1342" w:rsidRDefault="001F1342" w:rsidP="001F1342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Represented BeiGene in its issuance of RMB shares and listing on Shanghai Stock Exchange STAR Market</w:t>
      </w:r>
    </w:p>
    <w:p w14:paraId="18C76761" w14:textId="77777777" w:rsidR="001F1342" w:rsidRDefault="001F1342" w:rsidP="001F1342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Represented Ant Group in its proposed IPO and listing on SSE and HKSE</w:t>
      </w:r>
    </w:p>
    <w:p w14:paraId="732B2BCC" w14:textId="77777777" w:rsidR="001F1342" w:rsidRDefault="001F1342" w:rsidP="001F1342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Represented Innocare in its proposed issuance of RMB shares and listing on Shanghai Stock Exchange STAR Market</w:t>
      </w:r>
    </w:p>
    <w:p w14:paraId="0E94D05F" w14:textId="77777777" w:rsidR="001F1342" w:rsidRDefault="001F1342" w:rsidP="001F1342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Represented Sichuan Haowu Electromechanical Co., Ltd. in its material asset restructuring</w:t>
      </w:r>
    </w:p>
    <w:p w14:paraId="60734A69" w14:textId="77777777" w:rsidR="001F1342" w:rsidRDefault="001F1342" w:rsidP="001F1342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Represented Chongho Bridge and various other China-based companies in their pre-IPO restructuring and financing</w:t>
      </w:r>
    </w:p>
    <w:p w14:paraId="7C743B06" w14:textId="77777777" w:rsidR="001F1342" w:rsidRDefault="001F1342" w:rsidP="001F1342">
      <w:pPr>
        <w:pStyle w:val="af5"/>
        <w:spacing w:before="12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General Corporate Matters</w:t>
      </w:r>
    </w:p>
    <w:p w14:paraId="0439D0D6" w14:textId="77777777" w:rsidR="001F1342" w:rsidRDefault="001F1342" w:rsidP="001F1342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Provided general legal services to clients, including Alibaba Group, BeiGene, Ping</w:t>
      </w:r>
      <w:r w:rsidRPr="001F1342">
        <w:rPr>
          <w:rFonts w:ascii="等线" w:eastAsia="等线" w:hAnsi="Times New Roman"/>
          <w:color w:val="000000"/>
        </w:rPr>
        <w:t>’</w:t>
      </w:r>
      <w:r w:rsidRPr="001F1342">
        <w:rPr>
          <w:rFonts w:ascii="等线" w:eastAsia="等线" w:hAnsi="Times New Roman"/>
          <w:color w:val="000000"/>
        </w:rPr>
        <w:t>An Technology, Tuniu and Chongho Bridge</w:t>
      </w:r>
    </w:p>
    <w:p w14:paraId="4FA31AAE" w14:textId="77777777" w:rsidR="001F1342" w:rsidRDefault="001F1342" w:rsidP="001F134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F1342">
        <w:rPr>
          <w:rFonts w:ascii="等线" w:eastAsia="等线" w:hAnsi="等线"/>
          <w:b/>
          <w:sz w:val="24"/>
        </w:rPr>
        <w:t>Education</w:t>
      </w:r>
    </w:p>
    <w:p w14:paraId="6D6EEF8C" w14:textId="77777777" w:rsidR="001F1342" w:rsidRDefault="001F1342" w:rsidP="001F1342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Peking University, School of Law, LL.M.</w:t>
      </w:r>
    </w:p>
    <w:p w14:paraId="68C9AC01" w14:textId="77777777" w:rsidR="001F1342" w:rsidRDefault="001F1342" w:rsidP="001F1342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Peking University, Yuanpei College, LL.B.</w:t>
      </w:r>
    </w:p>
    <w:p w14:paraId="119B0F46" w14:textId="77777777" w:rsidR="001F1342" w:rsidRDefault="001F1342" w:rsidP="001F134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F1342">
        <w:rPr>
          <w:rFonts w:ascii="等线" w:eastAsia="等线" w:hAnsi="等线"/>
          <w:b/>
          <w:sz w:val="24"/>
        </w:rPr>
        <w:t>Professional Qualification</w:t>
      </w:r>
    </w:p>
    <w:p w14:paraId="5F2348D2" w14:textId="77777777" w:rsidR="001F1342" w:rsidRDefault="001F1342" w:rsidP="001F1342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Qualified to practice in the PRC</w:t>
      </w:r>
    </w:p>
    <w:p w14:paraId="724685A0" w14:textId="77777777" w:rsidR="001F1342" w:rsidRDefault="001F1342" w:rsidP="001F134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F1342">
        <w:rPr>
          <w:rFonts w:ascii="等线" w:eastAsia="等线" w:hAnsi="等线"/>
          <w:b/>
          <w:sz w:val="24"/>
        </w:rPr>
        <w:t>Professional Background</w:t>
      </w:r>
    </w:p>
    <w:p w14:paraId="5567FC3C" w14:textId="16814DF4" w:rsidR="00686369" w:rsidRPr="001F1342" w:rsidRDefault="001F1342" w:rsidP="001F1342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342">
        <w:rPr>
          <w:rFonts w:ascii="等线" w:eastAsia="等线" w:hAnsi="Times New Roman"/>
          <w:color w:val="000000"/>
        </w:rPr>
        <w:t>Travis joined Fangda Partners in 2015.</w:t>
      </w:r>
    </w:p>
    <w:sectPr w:rsidR="00686369" w:rsidRPr="001F134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5961"/>
    <w:multiLevelType w:val="singleLevel"/>
    <w:tmpl w:val="094E3C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530EEF"/>
    <w:multiLevelType w:val="singleLevel"/>
    <w:tmpl w:val="A29227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DFF335C"/>
    <w:multiLevelType w:val="singleLevel"/>
    <w:tmpl w:val="F89E89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2481548"/>
    <w:multiLevelType w:val="singleLevel"/>
    <w:tmpl w:val="68FAA1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376461D"/>
    <w:multiLevelType w:val="singleLevel"/>
    <w:tmpl w:val="3E06C1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491288A"/>
    <w:multiLevelType w:val="singleLevel"/>
    <w:tmpl w:val="C736F6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4FF3494"/>
    <w:multiLevelType w:val="singleLevel"/>
    <w:tmpl w:val="991AFD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FC4684C"/>
    <w:multiLevelType w:val="singleLevel"/>
    <w:tmpl w:val="F32EC2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3384719"/>
    <w:multiLevelType w:val="singleLevel"/>
    <w:tmpl w:val="ABF8FB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5241683"/>
    <w:multiLevelType w:val="singleLevel"/>
    <w:tmpl w:val="C2F028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3754F49"/>
    <w:multiLevelType w:val="singleLevel"/>
    <w:tmpl w:val="EC422E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41302CB"/>
    <w:multiLevelType w:val="singleLevel"/>
    <w:tmpl w:val="3C480F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698131B"/>
    <w:multiLevelType w:val="singleLevel"/>
    <w:tmpl w:val="F32EC2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9693687"/>
    <w:multiLevelType w:val="singleLevel"/>
    <w:tmpl w:val="37004F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A1F63C2"/>
    <w:multiLevelType w:val="singleLevel"/>
    <w:tmpl w:val="15F25C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ACC5753"/>
    <w:multiLevelType w:val="singleLevel"/>
    <w:tmpl w:val="FC9A30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DAC2A15"/>
    <w:multiLevelType w:val="singleLevel"/>
    <w:tmpl w:val="184ECD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F402D99"/>
    <w:multiLevelType w:val="singleLevel"/>
    <w:tmpl w:val="0AF002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0B45E2B"/>
    <w:multiLevelType w:val="singleLevel"/>
    <w:tmpl w:val="7374B9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3896A2A"/>
    <w:multiLevelType w:val="singleLevel"/>
    <w:tmpl w:val="E47CE7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3EF3AC8"/>
    <w:multiLevelType w:val="singleLevel"/>
    <w:tmpl w:val="2F7C1F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A000978"/>
    <w:multiLevelType w:val="singleLevel"/>
    <w:tmpl w:val="AB58CC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B4950A3"/>
    <w:multiLevelType w:val="singleLevel"/>
    <w:tmpl w:val="337A4D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C9A59A6"/>
    <w:multiLevelType w:val="singleLevel"/>
    <w:tmpl w:val="69AC68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D6238C5"/>
    <w:multiLevelType w:val="singleLevel"/>
    <w:tmpl w:val="E280E8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FEB7B2E"/>
    <w:multiLevelType w:val="singleLevel"/>
    <w:tmpl w:val="038451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AF207EE"/>
    <w:multiLevelType w:val="singleLevel"/>
    <w:tmpl w:val="52DAD3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EF911E6"/>
    <w:multiLevelType w:val="singleLevel"/>
    <w:tmpl w:val="414C84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A6D7A30"/>
    <w:multiLevelType w:val="singleLevel"/>
    <w:tmpl w:val="0D0CEF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D56129C"/>
    <w:multiLevelType w:val="singleLevel"/>
    <w:tmpl w:val="41081B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EFE189B"/>
    <w:multiLevelType w:val="singleLevel"/>
    <w:tmpl w:val="180012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7"/>
  </w:num>
  <w:num w:numId="3">
    <w:abstractNumId w:val="11"/>
  </w:num>
  <w:num w:numId="4">
    <w:abstractNumId w:val="20"/>
  </w:num>
  <w:num w:numId="5">
    <w:abstractNumId w:val="30"/>
  </w:num>
  <w:num w:numId="6">
    <w:abstractNumId w:val="26"/>
  </w:num>
  <w:num w:numId="7">
    <w:abstractNumId w:val="27"/>
  </w:num>
  <w:num w:numId="8">
    <w:abstractNumId w:val="15"/>
  </w:num>
  <w:num w:numId="9">
    <w:abstractNumId w:val="12"/>
  </w:num>
  <w:num w:numId="10">
    <w:abstractNumId w:val="31"/>
  </w:num>
  <w:num w:numId="11">
    <w:abstractNumId w:val="4"/>
  </w:num>
  <w:num w:numId="12">
    <w:abstractNumId w:val="28"/>
  </w:num>
  <w:num w:numId="13">
    <w:abstractNumId w:val="24"/>
  </w:num>
  <w:num w:numId="14">
    <w:abstractNumId w:val="16"/>
  </w:num>
  <w:num w:numId="15">
    <w:abstractNumId w:val="14"/>
  </w:num>
  <w:num w:numId="16">
    <w:abstractNumId w:val="2"/>
  </w:num>
  <w:num w:numId="17">
    <w:abstractNumId w:val="3"/>
  </w:num>
  <w:num w:numId="18">
    <w:abstractNumId w:val="5"/>
  </w:num>
  <w:num w:numId="19">
    <w:abstractNumId w:val="18"/>
  </w:num>
  <w:num w:numId="20">
    <w:abstractNumId w:val="0"/>
  </w:num>
  <w:num w:numId="21">
    <w:abstractNumId w:val="6"/>
  </w:num>
  <w:num w:numId="22">
    <w:abstractNumId w:val="8"/>
  </w:num>
  <w:num w:numId="23">
    <w:abstractNumId w:val="25"/>
  </w:num>
  <w:num w:numId="24">
    <w:abstractNumId w:val="23"/>
  </w:num>
  <w:num w:numId="25">
    <w:abstractNumId w:val="19"/>
  </w:num>
  <w:num w:numId="26">
    <w:abstractNumId w:val="1"/>
  </w:num>
  <w:num w:numId="27">
    <w:abstractNumId w:val="21"/>
  </w:num>
  <w:num w:numId="28">
    <w:abstractNumId w:val="32"/>
  </w:num>
  <w:num w:numId="29">
    <w:abstractNumId w:val="22"/>
  </w:num>
  <w:num w:numId="30">
    <w:abstractNumId w:val="29"/>
  </w:num>
  <w:num w:numId="31">
    <w:abstractNumId w:val="9"/>
  </w:num>
  <w:num w:numId="32">
    <w:abstractNumId w:val="13"/>
  </w:num>
  <w:num w:numId="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1342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F134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F134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D57B9C3-1A5B-429F-95C9-F1CF121C6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444</Words>
  <Characters>2537</Characters>
  <Application>Microsoft Office Word</Application>
  <DocSecurity>0</DocSecurity>
  <Lines>21</Lines>
  <Paragraphs>5</Paragraphs>
  <ScaleCrop>false</ScaleCrop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2026-06-24T05:57:00Z</dcterms:created>
  <dcterms:modified xsi:type="dcterms:W3CDTF">2026-06-24T05:57:00Z</dcterms:modified>
</cp:coreProperties>
</file>