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0D728D0" w:rsidR="0049405C" w:rsidRPr="00C24D79" w:rsidRDefault="00D1455B" w:rsidP="00D1455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1455B">
              <w:rPr>
                <w:rFonts w:ascii="等线" w:eastAsia="等线" w:hAnsi="Times New Roman"/>
                <w:b/>
                <w:color w:val="000000"/>
                <w:sz w:val="48"/>
              </w:rPr>
              <w:t>SIYU CHEN</w:t>
            </w:r>
            <w:bookmarkEnd w:id="0"/>
          </w:p>
          <w:p w14:paraId="706EB16B" w14:textId="19458A55" w:rsidR="0049405C" w:rsidRPr="00C24D79" w:rsidRDefault="00D1455B" w:rsidP="00D1455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1455B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D1455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1455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BD89F65" w:rsidR="0049405C" w:rsidRPr="00C24D79" w:rsidRDefault="00D1455B" w:rsidP="00D1455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1455B">
              <w:rPr>
                <w:rFonts w:ascii="等线" w:eastAsia="等线" w:hAnsi="Times New Roman"/>
                <w:color w:val="000000"/>
              </w:rPr>
              <w:t xml:space="preserve">+86 21 6263 5821 </w:t>
            </w:r>
            <w:bookmarkEnd w:id="3"/>
          </w:p>
          <w:p w14:paraId="4F910ACA" w14:textId="6067A83A" w:rsidR="0049405C" w:rsidRPr="00C24D79" w:rsidRDefault="00D1455B" w:rsidP="00D1455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1455B">
              <w:rPr>
                <w:rFonts w:ascii="等线" w:eastAsia="等线" w:hAnsi="Times New Roman"/>
                <w:color w:val="000000"/>
              </w:rPr>
              <w:t>siyu.chen@fangdalaw.com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138CA33" w:rsidR="0049405C" w:rsidRPr="00C24D79" w:rsidRDefault="00D1455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AB1C0F8" wp14:editId="7286C1A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3AD9E4D" w:rsidR="009465FB" w:rsidRPr="00C24D79" w:rsidRDefault="00D1455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1455B">
              <w:rPr>
                <w:rFonts w:ascii="等线" w:eastAsia="等线" w:hAnsi="Times New Roman"/>
                <w:color w:val="000000"/>
                <w:szCs w:val="21"/>
              </w:rPr>
              <w:t>MS. CHEN SPECIALIZES IN M&amp;A, PRIVATE EQUITY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70712EA" w14:textId="77777777" w:rsidR="00D1455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BE250B0" w14:textId="77777777" w:rsidR="00D1455B" w:rsidRDefault="00D1455B" w:rsidP="00D1455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1455B">
        <w:rPr>
          <w:rFonts w:ascii="等线" w:eastAsia="等线" w:hAnsi="等线"/>
          <w:b/>
          <w:sz w:val="24"/>
        </w:rPr>
        <w:t>REPRESENTATIVE MATTERS AND CASES</w:t>
      </w:r>
    </w:p>
    <w:p w14:paraId="5F93A329" w14:textId="77777777" w:rsidR="00D1455B" w:rsidRDefault="00D1455B" w:rsidP="00D1455B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E54C745" w14:textId="77777777" w:rsidR="00D1455B" w:rsidRDefault="00D1455B" w:rsidP="00D1455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>Represented TPG in its pre-IPO investment in a company engaged in medical device manufacturing and a company engaged in medical device R&amp;D</w:t>
      </w:r>
    </w:p>
    <w:p w14:paraId="2CA71B2E" w14:textId="77777777" w:rsidR="00D1455B" w:rsidRDefault="00D1455B" w:rsidP="00D1455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>Represented Blackstone in its acquisition of a company engaged in manufacturing medical packaging tubes</w:t>
      </w:r>
    </w:p>
    <w:p w14:paraId="601807A1" w14:textId="77777777" w:rsidR="00D1455B" w:rsidRDefault="00D1455B" w:rsidP="00D1455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 xml:space="preserve">Represented Centurium Capital and the buyer group in their privatization of China Biologic Products (named </w:t>
      </w:r>
      <w:r w:rsidRPr="00D1455B">
        <w:rPr>
          <w:rFonts w:ascii="等线" w:eastAsia="等线" w:hAnsi="Times New Roman"/>
          <w:color w:val="000000"/>
        </w:rPr>
        <w:t>“</w:t>
      </w:r>
      <w:r w:rsidRPr="00D1455B">
        <w:rPr>
          <w:rFonts w:ascii="等线" w:eastAsia="等线" w:hAnsi="Times New Roman"/>
          <w:color w:val="000000"/>
        </w:rPr>
        <w:t>Asia-Pacific Deal of the Year (Equity)</w:t>
      </w:r>
      <w:r w:rsidRPr="00D1455B">
        <w:rPr>
          <w:rFonts w:ascii="等线" w:eastAsia="等线" w:hAnsi="Times New Roman"/>
          <w:color w:val="000000"/>
        </w:rPr>
        <w:t>”</w:t>
      </w:r>
      <w:r w:rsidRPr="00D1455B">
        <w:rPr>
          <w:rFonts w:ascii="等线" w:eastAsia="等线" w:hAnsi="Times New Roman"/>
          <w:color w:val="000000"/>
        </w:rPr>
        <w:t>, IFLR Awards, 2022)</w:t>
      </w:r>
    </w:p>
    <w:p w14:paraId="768732E0" w14:textId="77777777" w:rsidR="00D1455B" w:rsidRDefault="00D1455B" w:rsidP="00D1455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>Represented PAG in its investment in Alphamab Oncology</w:t>
      </w:r>
    </w:p>
    <w:p w14:paraId="31076EE8" w14:textId="77777777" w:rsidR="00D1455B" w:rsidRDefault="00D1455B" w:rsidP="00D1455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>Represented Hillhouse in its equity investment in a company engaged in gene therapy R&amp;D and manufacturing</w:t>
      </w:r>
    </w:p>
    <w:p w14:paraId="5AC569F1" w14:textId="77777777" w:rsidR="00D1455B" w:rsidRDefault="00D1455B" w:rsidP="00D1455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>Represented Boyu Capital in its equity investment in Shuidichou and a company engaged in medical device manufacturing and R&amp;D</w:t>
      </w:r>
    </w:p>
    <w:p w14:paraId="1DB316AA" w14:textId="77777777" w:rsidR="00D1455B" w:rsidRDefault="00D1455B" w:rsidP="00D1455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>Represented Primavera in its equity investment in a company engaged in logistics and transportation</w:t>
      </w:r>
    </w:p>
    <w:p w14:paraId="5326A4FC" w14:textId="77777777" w:rsidR="00D1455B" w:rsidRDefault="00D1455B" w:rsidP="00D1455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>Represented YF Capital in its equity investment in Livzon Mabpharm</w:t>
      </w:r>
    </w:p>
    <w:p w14:paraId="69EF967F" w14:textId="77777777" w:rsidR="00D1455B" w:rsidRDefault="00D1455B" w:rsidP="00D1455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>Represented Partners Group in its acquisition of a company engaged in display prop manufacturing and a company engaged in cross-border logistics transportation</w:t>
      </w:r>
    </w:p>
    <w:p w14:paraId="2A86AA42" w14:textId="77777777" w:rsidR="00D1455B" w:rsidRDefault="00D1455B" w:rsidP="00D1455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>Represented Nexus Point in its acquisition of a company engaged in international freight forwarding business</w:t>
      </w:r>
    </w:p>
    <w:p w14:paraId="0BFBB7ED" w14:textId="77777777" w:rsidR="00D1455B" w:rsidRDefault="00D1455B" w:rsidP="00D1455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>Represented RA Capital in its equity investment in Connect Biopharma, a company engaged in innovative drug R&amp;D</w:t>
      </w:r>
    </w:p>
    <w:p w14:paraId="5DB2C022" w14:textId="77777777" w:rsidR="00D1455B" w:rsidRDefault="00D1455B" w:rsidP="00D1455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>Represented AstraZeneca-CICC medical fund, CICC Capital, CITIC Capital, WuXi AppTec, CBC Group, Huagai Capital, Highlight Capital, CD Capital, and Shiyu Capital in their equity investments in bio-pharmaceutical enterprises, including companies engaged in medical technology, in medical services, and in new drug and medical device R&amp;D, manufacturing and sales</w:t>
      </w:r>
    </w:p>
    <w:p w14:paraId="58F8455C" w14:textId="77777777" w:rsidR="00D1455B" w:rsidRDefault="00D1455B" w:rsidP="00D1455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>Represented Alibaba in its equity investment in Zto Express and in companies engaged in logistics transportation</w:t>
      </w:r>
    </w:p>
    <w:p w14:paraId="68F34821" w14:textId="77777777" w:rsidR="00D1455B" w:rsidRDefault="00D1455B" w:rsidP="00D1455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>Represented Ant Financial in its acquisition of a company engaged in fresh food e-commerce</w:t>
      </w:r>
    </w:p>
    <w:p w14:paraId="1089421D" w14:textId="77777777" w:rsidR="00D1455B" w:rsidRDefault="00D1455B" w:rsidP="00D1455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>Represented Shanghai Highly (Group) in its establishment of a joint venture with Voltas Limited in India</w:t>
      </w:r>
    </w:p>
    <w:p w14:paraId="49DE4407" w14:textId="77777777" w:rsidR="00D1455B" w:rsidRDefault="00D1455B" w:rsidP="00D1455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>Represented Enmore Group in its establishment of a joint venture with TP ICAP in China</w:t>
      </w:r>
    </w:p>
    <w:p w14:paraId="46EBFA34" w14:textId="77777777" w:rsidR="00D1455B" w:rsidRDefault="00D1455B" w:rsidP="00D1455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>Represented New Horizon Health in its listing on the main board of the HKEx</w:t>
      </w:r>
    </w:p>
    <w:p w14:paraId="2D73EA46" w14:textId="77777777" w:rsidR="00D1455B" w:rsidRDefault="00D1455B" w:rsidP="00D1455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>Represented FOSUN Pharma in its introduction of the COVID-19 vaccine into the PRC, Hong Kong SAR and Macao SAR</w:t>
      </w:r>
    </w:p>
    <w:p w14:paraId="61A07DD9" w14:textId="77777777" w:rsidR="00D1455B" w:rsidRDefault="00D1455B" w:rsidP="00D1455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1455B">
        <w:rPr>
          <w:rFonts w:ascii="等线" w:eastAsia="等线" w:hAnsi="等线"/>
          <w:b/>
          <w:sz w:val="24"/>
        </w:rPr>
        <w:t>Education</w:t>
      </w:r>
    </w:p>
    <w:p w14:paraId="6B2144BE" w14:textId="77777777" w:rsidR="00D1455B" w:rsidRDefault="00D1455B" w:rsidP="00D1455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>Cornell Law School, LL.M.</w:t>
      </w:r>
    </w:p>
    <w:p w14:paraId="31AF041A" w14:textId="77777777" w:rsidR="00D1455B" w:rsidRDefault="00D1455B" w:rsidP="00D1455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>East China University of Political Science and Law, LL.B.</w:t>
      </w:r>
    </w:p>
    <w:p w14:paraId="2191F643" w14:textId="77777777" w:rsidR="00D1455B" w:rsidRDefault="00D1455B" w:rsidP="00D1455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1455B">
        <w:rPr>
          <w:rFonts w:ascii="等线" w:eastAsia="等线" w:hAnsi="等线"/>
          <w:b/>
          <w:sz w:val="24"/>
        </w:rPr>
        <w:t>Professional Qualification</w:t>
      </w:r>
    </w:p>
    <w:p w14:paraId="268660C9" w14:textId="77777777" w:rsidR="00D1455B" w:rsidRDefault="00D1455B" w:rsidP="00D1455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>Admitted to practice in the PRC</w:t>
      </w:r>
    </w:p>
    <w:p w14:paraId="541C472B" w14:textId="77777777" w:rsidR="00D1455B" w:rsidRDefault="00D1455B" w:rsidP="00D1455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>Admitted to practice in the State of New York</w:t>
      </w:r>
    </w:p>
    <w:p w14:paraId="3C80FC0E" w14:textId="77777777" w:rsidR="00D1455B" w:rsidRDefault="00D1455B" w:rsidP="00D1455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1455B">
        <w:rPr>
          <w:rFonts w:ascii="等线" w:eastAsia="等线" w:hAnsi="等线"/>
          <w:b/>
          <w:sz w:val="24"/>
        </w:rPr>
        <w:t>Professional Background</w:t>
      </w:r>
    </w:p>
    <w:p w14:paraId="5567FC3C" w14:textId="3B52860B" w:rsidR="00686369" w:rsidRPr="00D1455B" w:rsidRDefault="00D1455B" w:rsidP="00D1455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1455B">
        <w:rPr>
          <w:rFonts w:ascii="等线" w:eastAsia="等线" w:hAnsi="Times New Roman"/>
          <w:color w:val="000000"/>
        </w:rPr>
        <w:t>Ms. Chen joined Fangda Partners in 2016.</w:t>
      </w:r>
    </w:p>
    <w:sectPr w:rsidR="00686369" w:rsidRPr="00D1455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BBB"/>
    <w:multiLevelType w:val="singleLevel"/>
    <w:tmpl w:val="32F087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2D34A65"/>
    <w:multiLevelType w:val="singleLevel"/>
    <w:tmpl w:val="429489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7EF5864"/>
    <w:multiLevelType w:val="singleLevel"/>
    <w:tmpl w:val="2CCA8B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45917CD"/>
    <w:multiLevelType w:val="singleLevel"/>
    <w:tmpl w:val="A5FC22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A146ADD"/>
    <w:multiLevelType w:val="singleLevel"/>
    <w:tmpl w:val="37680F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B5108DB"/>
    <w:multiLevelType w:val="singleLevel"/>
    <w:tmpl w:val="305490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B9B1C2E"/>
    <w:multiLevelType w:val="singleLevel"/>
    <w:tmpl w:val="59160B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18A2D04"/>
    <w:multiLevelType w:val="singleLevel"/>
    <w:tmpl w:val="DDC8CB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61E5148"/>
    <w:multiLevelType w:val="singleLevel"/>
    <w:tmpl w:val="A40003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75E3FEE"/>
    <w:multiLevelType w:val="singleLevel"/>
    <w:tmpl w:val="BC2690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3B75A9"/>
    <w:multiLevelType w:val="singleLevel"/>
    <w:tmpl w:val="101C7E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1011365"/>
    <w:multiLevelType w:val="singleLevel"/>
    <w:tmpl w:val="F58A40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2B425CF"/>
    <w:multiLevelType w:val="singleLevel"/>
    <w:tmpl w:val="C820E7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41F0B39"/>
    <w:multiLevelType w:val="singleLevel"/>
    <w:tmpl w:val="F0020A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62A745B"/>
    <w:multiLevelType w:val="singleLevel"/>
    <w:tmpl w:val="136A4A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7327BC7"/>
    <w:multiLevelType w:val="singleLevel"/>
    <w:tmpl w:val="DCBA56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71A3F74"/>
    <w:multiLevelType w:val="singleLevel"/>
    <w:tmpl w:val="DE2254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9F71422"/>
    <w:multiLevelType w:val="singleLevel"/>
    <w:tmpl w:val="43C403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E413D3F"/>
    <w:multiLevelType w:val="singleLevel"/>
    <w:tmpl w:val="0CE4CF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1ED0A50"/>
    <w:multiLevelType w:val="singleLevel"/>
    <w:tmpl w:val="5A1C6A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49A418E"/>
    <w:multiLevelType w:val="singleLevel"/>
    <w:tmpl w:val="CFD822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BE74482"/>
    <w:multiLevelType w:val="singleLevel"/>
    <w:tmpl w:val="14CC53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9DC4ABC"/>
    <w:multiLevelType w:val="singleLevel"/>
    <w:tmpl w:val="27EC14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C790FFA"/>
    <w:multiLevelType w:val="singleLevel"/>
    <w:tmpl w:val="CFD822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2"/>
  </w:num>
  <w:num w:numId="3">
    <w:abstractNumId w:val="23"/>
  </w:num>
  <w:num w:numId="4">
    <w:abstractNumId w:val="5"/>
  </w:num>
  <w:num w:numId="5">
    <w:abstractNumId w:val="8"/>
  </w:num>
  <w:num w:numId="6">
    <w:abstractNumId w:val="10"/>
  </w:num>
  <w:num w:numId="7">
    <w:abstractNumId w:val="24"/>
  </w:num>
  <w:num w:numId="8">
    <w:abstractNumId w:val="0"/>
  </w:num>
  <w:num w:numId="9">
    <w:abstractNumId w:val="4"/>
  </w:num>
  <w:num w:numId="10">
    <w:abstractNumId w:val="2"/>
  </w:num>
  <w:num w:numId="11">
    <w:abstractNumId w:val="21"/>
  </w:num>
  <w:num w:numId="12">
    <w:abstractNumId w:val="6"/>
  </w:num>
  <w:num w:numId="13">
    <w:abstractNumId w:val="15"/>
  </w:num>
  <w:num w:numId="14">
    <w:abstractNumId w:val="19"/>
  </w:num>
  <w:num w:numId="15">
    <w:abstractNumId w:val="14"/>
  </w:num>
  <w:num w:numId="16">
    <w:abstractNumId w:val="11"/>
  </w:num>
  <w:num w:numId="17">
    <w:abstractNumId w:val="3"/>
  </w:num>
  <w:num w:numId="18">
    <w:abstractNumId w:val="16"/>
  </w:num>
  <w:num w:numId="19">
    <w:abstractNumId w:val="9"/>
  </w:num>
  <w:num w:numId="20">
    <w:abstractNumId w:val="17"/>
  </w:num>
  <w:num w:numId="21">
    <w:abstractNumId w:val="1"/>
  </w:num>
  <w:num w:numId="22">
    <w:abstractNumId w:val="20"/>
  </w:num>
  <w:num w:numId="23">
    <w:abstractNumId w:val="13"/>
  </w:num>
  <w:num w:numId="24">
    <w:abstractNumId w:val="18"/>
  </w:num>
  <w:num w:numId="25">
    <w:abstractNumId w:val="25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455B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1455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1455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6FBC1F4-1778-4812-B0EF-2CA5ED1E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396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2026-06-03T00:46:00Z</dcterms:created>
  <dcterms:modified xsi:type="dcterms:W3CDTF">2026-06-03T00:46:00Z</dcterms:modified>
</cp:coreProperties>
</file>