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4F191A2" w:rsidR="0049405C" w:rsidRPr="00C24D79" w:rsidRDefault="00F137FE" w:rsidP="00F137FE">
            <w:pPr>
              <w:spacing w:line="720" w:lineRule="auto"/>
              <w:rPr>
                <w:rFonts w:eastAsiaTheme="minorHAnsi"/>
                <w:color w:val="545551"/>
              </w:rPr>
            </w:pPr>
            <w:bookmarkStart w:id="0" w:name="xingming"/>
            <w:bookmarkStart w:id="1" w:name="_GoBack"/>
            <w:bookmarkEnd w:id="1"/>
            <w:r w:rsidRPr="00F137FE">
              <w:rPr>
                <w:rFonts w:ascii="等线" w:eastAsia="等线" w:hAnsi="Times New Roman"/>
                <w:b/>
                <w:color w:val="000000"/>
                <w:sz w:val="48"/>
              </w:rPr>
              <w:t>LAWRENCE ZHU</w:t>
            </w:r>
            <w:bookmarkEnd w:id="0"/>
          </w:p>
          <w:p w14:paraId="706EB16B" w14:textId="026CCDB2" w:rsidR="0049405C" w:rsidRPr="00C24D79" w:rsidRDefault="00F137FE" w:rsidP="00F137FE">
            <w:pPr>
              <w:spacing w:line="360" w:lineRule="auto"/>
              <w:rPr>
                <w:rFonts w:eastAsiaTheme="minorHAnsi"/>
                <w:b/>
                <w:bCs/>
                <w:color w:val="545551"/>
              </w:rPr>
            </w:pPr>
            <w:bookmarkStart w:id="2" w:name="didian"/>
            <w:r w:rsidRPr="00F137FE">
              <w:rPr>
                <w:rFonts w:ascii="等线" w:eastAsia="等线" w:hAnsi="Times New Roman"/>
                <w:b/>
                <w:bCs/>
                <w:color w:val="000000"/>
              </w:rPr>
              <w:t>Counsel</w:t>
            </w:r>
            <w:r w:rsidRPr="00F137FE">
              <w:rPr>
                <w:rFonts w:ascii="等线" w:eastAsia="等线" w:hAnsi="Times New Roman"/>
                <w:b/>
                <w:bCs/>
                <w:color w:val="000000"/>
              </w:rPr>
              <w:t>·</w:t>
            </w:r>
            <w:r w:rsidRPr="00F137FE">
              <w:rPr>
                <w:rFonts w:ascii="等线" w:eastAsia="等线" w:hAnsi="Times New Roman"/>
                <w:b/>
                <w:bCs/>
                <w:color w:val="000000"/>
              </w:rPr>
              <w:t>Shanghai</w:t>
            </w:r>
            <w:bookmarkEnd w:id="2"/>
          </w:p>
          <w:p w14:paraId="6199424A" w14:textId="231BD0FA" w:rsidR="0049405C" w:rsidRPr="00C24D79" w:rsidRDefault="00F137FE" w:rsidP="00F137FE">
            <w:pPr>
              <w:spacing w:line="360" w:lineRule="auto"/>
              <w:rPr>
                <w:rFonts w:eastAsiaTheme="minorHAnsi"/>
                <w:color w:val="545551"/>
              </w:rPr>
            </w:pPr>
            <w:bookmarkStart w:id="3" w:name="dianhua"/>
            <w:r w:rsidRPr="00F137FE">
              <w:rPr>
                <w:rFonts w:ascii="等线" w:eastAsia="等线" w:hAnsi="Times New Roman"/>
                <w:color w:val="000000"/>
              </w:rPr>
              <w:t xml:space="preserve">+86 21 6263 5807 </w:t>
            </w:r>
            <w:bookmarkEnd w:id="3"/>
          </w:p>
          <w:p w14:paraId="4F910ACA" w14:textId="7D2CB9D8" w:rsidR="0049405C" w:rsidRPr="00C24D79" w:rsidRDefault="00F137FE" w:rsidP="00F137FE">
            <w:pPr>
              <w:spacing w:line="360" w:lineRule="auto"/>
              <w:rPr>
                <w:rFonts w:eastAsiaTheme="minorHAnsi"/>
                <w:color w:val="000000"/>
              </w:rPr>
            </w:pPr>
            <w:bookmarkStart w:id="4" w:name="youxiang"/>
            <w:r w:rsidRPr="00F137FE">
              <w:rPr>
                <w:rFonts w:ascii="等线" w:eastAsia="等线" w:hAnsi="Times New Roman"/>
                <w:color w:val="000000"/>
              </w:rPr>
              <w:t>lawrence.zhu@fangdalaw.com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0E63A2D" w:rsidR="0049405C" w:rsidRPr="00C24D79" w:rsidRDefault="00F137FE"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B5286AC" wp14:editId="1E8C2DDD">
                  <wp:extent cx="1651000" cy="214240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240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7E29F10" w:rsidR="009465FB" w:rsidRPr="00C24D79" w:rsidRDefault="00F137FE" w:rsidP="007177F3">
            <w:pPr>
              <w:rPr>
                <w:rFonts w:eastAsiaTheme="minorHAnsi"/>
                <w:color w:val="000000"/>
                <w:szCs w:val="21"/>
              </w:rPr>
            </w:pPr>
            <w:bookmarkStart w:id="6" w:name="zhiyelingyu"/>
            <w:r w:rsidRPr="00F137FE">
              <w:rPr>
                <w:rFonts w:ascii="等线" w:eastAsia="等线" w:hAnsi="Times New Roman"/>
                <w:color w:val="000000"/>
                <w:szCs w:val="21"/>
              </w:rPr>
              <w:t>MR. ZHU SPECIALIZES IN M&amp;A, FINANCIAL MARKET REGULATION AND GENERAL CORPORATE. HE ADVISES MANY LEADING COMPANIES AND FINANCIAL INSTITUTIONS ON THEIR INVESTMENTS AND ACTIVITIES IN THE PRC.</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3D84F9D" w14:textId="77777777" w:rsidR="00F137FE"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531F456" w14:textId="77777777" w:rsidR="00F137FE" w:rsidRDefault="00F137FE" w:rsidP="00F137FE">
      <w:pPr>
        <w:pStyle w:val="af5"/>
        <w:spacing w:after="0" w:line="480" w:lineRule="auto"/>
        <w:rPr>
          <w:rFonts w:ascii="等线" w:eastAsia="等线" w:hAnsi="等线"/>
          <w:b/>
          <w:sz w:val="24"/>
        </w:rPr>
      </w:pPr>
      <w:r w:rsidRPr="00F137FE">
        <w:rPr>
          <w:rFonts w:ascii="等线" w:eastAsia="等线" w:hAnsi="等线"/>
          <w:b/>
          <w:sz w:val="24"/>
        </w:rPr>
        <w:t>REPRESENTATIVE MATTERS AND CASES</w:t>
      </w:r>
    </w:p>
    <w:p w14:paraId="5F77EC87" w14:textId="77777777" w:rsidR="00F137FE" w:rsidRDefault="00F137FE" w:rsidP="00F137FE">
      <w:pPr>
        <w:pStyle w:val="af5"/>
        <w:spacing w:before="120"/>
        <w:rPr>
          <w:rFonts w:ascii="等线" w:eastAsia="等线" w:hAnsi="Times New Roman"/>
          <w:color w:val="000000"/>
        </w:rPr>
      </w:pPr>
      <w:r w:rsidRPr="00F137FE">
        <w:rPr>
          <w:rFonts w:ascii="等线" w:eastAsia="等线" w:hAnsi="Times New Roman"/>
          <w:color w:val="000000"/>
        </w:rPr>
        <w:t>Investment and M&amp;A</w:t>
      </w:r>
    </w:p>
    <w:p w14:paraId="7B71CCF9" w14:textId="77777777" w:rsidR="00F137FE" w:rsidRDefault="00F137FE" w:rsidP="00F137FE">
      <w:pPr>
        <w:pStyle w:val="af5"/>
        <w:numPr>
          <w:ilvl w:val="0"/>
          <w:numId w:val="4"/>
        </w:numPr>
        <w:spacing w:before="120"/>
        <w:ind w:left="690" w:hanging="240"/>
        <w:rPr>
          <w:rFonts w:ascii="等线" w:eastAsia="等线" w:hAnsi="Times New Roman"/>
          <w:color w:val="000000"/>
        </w:rPr>
      </w:pPr>
      <w:r w:rsidRPr="00F137FE">
        <w:rPr>
          <w:rFonts w:ascii="等线" w:eastAsia="等线" w:hAnsi="Times New Roman"/>
          <w:color w:val="000000"/>
        </w:rPr>
        <w:t>Advised Credit Suisse on its capital increase to become the majority shareholder in its securities joint venture in the PRC</w:t>
      </w:r>
    </w:p>
    <w:p w14:paraId="457EA7E7" w14:textId="77777777" w:rsidR="00F137FE" w:rsidRDefault="00F137FE" w:rsidP="00F137FE">
      <w:pPr>
        <w:pStyle w:val="af5"/>
        <w:numPr>
          <w:ilvl w:val="0"/>
          <w:numId w:val="5"/>
        </w:numPr>
        <w:spacing w:before="120"/>
        <w:ind w:left="690" w:hanging="240"/>
        <w:rPr>
          <w:rFonts w:ascii="等线" w:eastAsia="等线" w:hAnsi="Times New Roman"/>
          <w:color w:val="000000"/>
        </w:rPr>
      </w:pPr>
      <w:r w:rsidRPr="00F137FE">
        <w:rPr>
          <w:rFonts w:ascii="等线" w:eastAsia="等线" w:hAnsi="Times New Roman"/>
          <w:color w:val="000000"/>
        </w:rPr>
        <w:t>Advised DBS on its securities joint venture project in the PRC</w:t>
      </w:r>
    </w:p>
    <w:p w14:paraId="319313E4" w14:textId="77777777" w:rsidR="00F137FE" w:rsidRDefault="00F137FE" w:rsidP="00F137FE">
      <w:pPr>
        <w:pStyle w:val="af5"/>
        <w:numPr>
          <w:ilvl w:val="0"/>
          <w:numId w:val="6"/>
        </w:numPr>
        <w:spacing w:before="120"/>
        <w:ind w:left="690" w:hanging="240"/>
        <w:rPr>
          <w:rFonts w:ascii="等线" w:eastAsia="等线" w:hAnsi="Times New Roman"/>
          <w:color w:val="000000"/>
        </w:rPr>
      </w:pPr>
      <w:r w:rsidRPr="00F137FE">
        <w:rPr>
          <w:rFonts w:ascii="等线" w:eastAsia="等线" w:hAnsi="Times New Roman"/>
          <w:color w:val="000000"/>
        </w:rPr>
        <w:t>Advised Nomura on its setup of a securities joint venture in the PRC</w:t>
      </w:r>
    </w:p>
    <w:p w14:paraId="5E3AF9D4" w14:textId="77777777" w:rsidR="00F137FE" w:rsidRDefault="00F137FE" w:rsidP="00F137FE">
      <w:pPr>
        <w:pStyle w:val="af5"/>
        <w:numPr>
          <w:ilvl w:val="0"/>
          <w:numId w:val="7"/>
        </w:numPr>
        <w:spacing w:before="120"/>
        <w:ind w:left="690" w:hanging="240"/>
        <w:rPr>
          <w:rFonts w:ascii="等线" w:eastAsia="等线" w:hAnsi="Times New Roman"/>
          <w:color w:val="000000"/>
        </w:rPr>
      </w:pPr>
      <w:r w:rsidRPr="00F137FE">
        <w:rPr>
          <w:rFonts w:ascii="等线" w:eastAsia="等线" w:hAnsi="Times New Roman"/>
          <w:color w:val="000000"/>
        </w:rPr>
        <w:t>Advised Alibaba on its investment in Huatai Securities</w:t>
      </w:r>
    </w:p>
    <w:p w14:paraId="7F0EAD1C" w14:textId="77777777" w:rsidR="00F137FE" w:rsidRDefault="00F137FE" w:rsidP="00F137FE">
      <w:pPr>
        <w:pStyle w:val="af5"/>
        <w:numPr>
          <w:ilvl w:val="0"/>
          <w:numId w:val="8"/>
        </w:numPr>
        <w:spacing w:before="120"/>
        <w:ind w:left="690" w:hanging="240"/>
        <w:rPr>
          <w:rFonts w:ascii="等线" w:eastAsia="等线" w:hAnsi="Times New Roman"/>
          <w:color w:val="000000"/>
        </w:rPr>
      </w:pPr>
      <w:r w:rsidRPr="00F137FE">
        <w:rPr>
          <w:rFonts w:ascii="等线" w:eastAsia="等线" w:hAnsi="Times New Roman"/>
          <w:color w:val="000000"/>
        </w:rPr>
        <w:t>Advised Alibaba on its investment in Focus Media</w:t>
      </w:r>
    </w:p>
    <w:p w14:paraId="23489B5F" w14:textId="77777777" w:rsidR="00F137FE" w:rsidRDefault="00F137FE" w:rsidP="00F137FE">
      <w:pPr>
        <w:pStyle w:val="af5"/>
        <w:numPr>
          <w:ilvl w:val="0"/>
          <w:numId w:val="9"/>
        </w:numPr>
        <w:spacing w:before="120"/>
        <w:ind w:left="690" w:hanging="240"/>
        <w:rPr>
          <w:rFonts w:ascii="等线" w:eastAsia="等线" w:hAnsi="Times New Roman"/>
          <w:color w:val="000000"/>
        </w:rPr>
      </w:pPr>
      <w:r w:rsidRPr="00F137FE">
        <w:rPr>
          <w:rFonts w:ascii="等线" w:eastAsia="等线" w:hAnsi="Times New Roman"/>
          <w:color w:val="000000"/>
        </w:rPr>
        <w:t>Advised a leading fintech company on its financing</w:t>
      </w:r>
    </w:p>
    <w:p w14:paraId="5CBBBFED" w14:textId="77777777" w:rsidR="00F137FE" w:rsidRDefault="00F137FE" w:rsidP="00F137FE">
      <w:pPr>
        <w:pStyle w:val="af5"/>
        <w:spacing w:before="120"/>
        <w:rPr>
          <w:rFonts w:ascii="等线" w:eastAsia="等线" w:hAnsi="Times New Roman"/>
          <w:color w:val="000000"/>
        </w:rPr>
      </w:pPr>
      <w:r w:rsidRPr="00F137FE">
        <w:rPr>
          <w:rFonts w:ascii="等线" w:eastAsia="等线" w:hAnsi="Times New Roman"/>
          <w:color w:val="000000"/>
        </w:rPr>
        <w:t>Financial market regulation</w:t>
      </w:r>
    </w:p>
    <w:p w14:paraId="5C9DDD68" w14:textId="77777777" w:rsidR="00F137FE" w:rsidRDefault="00F137FE" w:rsidP="00F137FE">
      <w:pPr>
        <w:pStyle w:val="af5"/>
        <w:numPr>
          <w:ilvl w:val="0"/>
          <w:numId w:val="10"/>
        </w:numPr>
        <w:spacing w:before="120"/>
        <w:ind w:left="690" w:hanging="240"/>
        <w:rPr>
          <w:rFonts w:ascii="等线" w:eastAsia="等线" w:hAnsi="Times New Roman"/>
          <w:color w:val="000000"/>
        </w:rPr>
      </w:pPr>
      <w:r w:rsidRPr="00F137FE">
        <w:rPr>
          <w:rFonts w:ascii="等线" w:eastAsia="等线" w:hAnsi="Times New Roman"/>
          <w:color w:val="000000"/>
        </w:rPr>
        <w:t>Advised international financial institutions including Barclays, Citadel, Citi, Credit Suisse, DBS, Goldman Sachs, Morgan Stanley, Nomura, Santander, Standard Chartered, UBS and Warburg Pincus on the regulatory aspects of their activities in the PRC financial markets, including feasibility study, licensing, product structuring and governance</w:t>
      </w:r>
    </w:p>
    <w:p w14:paraId="0BAB42DE" w14:textId="77777777" w:rsidR="00F137FE" w:rsidRDefault="00F137FE" w:rsidP="00F137FE">
      <w:pPr>
        <w:pStyle w:val="af5"/>
        <w:numPr>
          <w:ilvl w:val="0"/>
          <w:numId w:val="11"/>
        </w:numPr>
        <w:spacing w:before="120"/>
        <w:ind w:left="690" w:hanging="240"/>
        <w:rPr>
          <w:rFonts w:ascii="等线" w:eastAsia="等线" w:hAnsi="Times New Roman"/>
          <w:color w:val="000000"/>
        </w:rPr>
      </w:pPr>
      <w:r w:rsidRPr="00F137FE">
        <w:rPr>
          <w:rFonts w:ascii="等线" w:eastAsia="等线" w:hAnsi="Times New Roman"/>
          <w:color w:val="000000"/>
        </w:rPr>
        <w:t>Assisted domestic and international financial institutions as well as investors on currency, commodity, equity, gold, etc. derivative transactions by providing advice on structuring, documentation, close-out netting related analysis, etc.</w:t>
      </w:r>
    </w:p>
    <w:p w14:paraId="05BE5433" w14:textId="77777777" w:rsidR="00F137FE" w:rsidRDefault="00F137FE" w:rsidP="00F137FE">
      <w:pPr>
        <w:pStyle w:val="af5"/>
        <w:numPr>
          <w:ilvl w:val="0"/>
          <w:numId w:val="12"/>
        </w:numPr>
        <w:spacing w:before="120"/>
        <w:ind w:left="690" w:hanging="240"/>
        <w:rPr>
          <w:rFonts w:ascii="等线" w:eastAsia="等线" w:hAnsi="Times New Roman"/>
          <w:color w:val="000000"/>
        </w:rPr>
      </w:pPr>
      <w:r w:rsidRPr="00F137FE">
        <w:rPr>
          <w:rFonts w:ascii="等线" w:eastAsia="等线" w:hAnsi="Times New Roman"/>
          <w:color w:val="000000"/>
        </w:rPr>
        <w:t>Advised domestic and international financial institutions on their cross-border investments, including QFII/RQFII, QDII/RQDII, QDIE, QDLP, QFLP, Shanghai/Shenzhen-Hong Kong Connect, Bond Connect, and CDR/GDR (Shanghai-London Connect)</w:t>
      </w:r>
    </w:p>
    <w:p w14:paraId="41EC9A93" w14:textId="77777777" w:rsidR="00F137FE" w:rsidRDefault="00F137FE" w:rsidP="00F137FE">
      <w:pPr>
        <w:pStyle w:val="af5"/>
        <w:numPr>
          <w:ilvl w:val="0"/>
          <w:numId w:val="13"/>
        </w:numPr>
        <w:spacing w:before="120"/>
        <w:ind w:left="690" w:hanging="240"/>
        <w:rPr>
          <w:rFonts w:ascii="等线" w:eastAsia="等线" w:hAnsi="Times New Roman"/>
          <w:color w:val="000000"/>
        </w:rPr>
      </w:pPr>
      <w:r w:rsidRPr="00F137FE">
        <w:rPr>
          <w:rFonts w:ascii="等线" w:eastAsia="等线" w:hAnsi="Times New Roman"/>
          <w:color w:val="000000"/>
        </w:rPr>
        <w:t>Advised Ant Financial on its online financing business in both domestic and foreign markets, its fintech business and its fund distribution business</w:t>
      </w:r>
    </w:p>
    <w:p w14:paraId="27FF999E" w14:textId="77777777" w:rsidR="00F137FE" w:rsidRDefault="00F137FE" w:rsidP="00F137FE">
      <w:pPr>
        <w:pStyle w:val="af5"/>
        <w:spacing w:after="0" w:line="480" w:lineRule="auto"/>
        <w:rPr>
          <w:rFonts w:ascii="等线" w:eastAsia="等线" w:hAnsi="等线"/>
          <w:b/>
          <w:sz w:val="24"/>
        </w:rPr>
      </w:pPr>
      <w:r w:rsidRPr="00F137FE">
        <w:rPr>
          <w:rFonts w:ascii="等线" w:eastAsia="等线" w:hAnsi="等线"/>
          <w:b/>
          <w:sz w:val="24"/>
        </w:rPr>
        <w:t>Education</w:t>
      </w:r>
    </w:p>
    <w:p w14:paraId="2D50ACCB" w14:textId="77777777" w:rsidR="00F137FE" w:rsidRDefault="00F137FE" w:rsidP="00F137FE">
      <w:pPr>
        <w:pStyle w:val="af5"/>
        <w:numPr>
          <w:ilvl w:val="0"/>
          <w:numId w:val="14"/>
        </w:numPr>
        <w:spacing w:before="120"/>
        <w:ind w:left="690" w:hanging="240"/>
        <w:rPr>
          <w:rFonts w:ascii="等线" w:eastAsia="等线" w:hAnsi="Times New Roman"/>
          <w:color w:val="000000"/>
        </w:rPr>
      </w:pPr>
      <w:r w:rsidRPr="00F137FE">
        <w:rPr>
          <w:rFonts w:ascii="等线" w:eastAsia="等线" w:hAnsi="Times New Roman"/>
          <w:color w:val="000000"/>
        </w:rPr>
        <w:t>Shanghai Jiao Tong University, LL.M</w:t>
      </w:r>
    </w:p>
    <w:p w14:paraId="3807004B" w14:textId="77777777" w:rsidR="00F137FE" w:rsidRDefault="00F137FE" w:rsidP="00F137FE">
      <w:pPr>
        <w:pStyle w:val="af5"/>
        <w:numPr>
          <w:ilvl w:val="0"/>
          <w:numId w:val="15"/>
        </w:numPr>
        <w:spacing w:before="120"/>
        <w:ind w:left="690" w:hanging="240"/>
        <w:rPr>
          <w:rFonts w:ascii="等线" w:eastAsia="等线" w:hAnsi="Times New Roman"/>
          <w:color w:val="000000"/>
        </w:rPr>
      </w:pPr>
      <w:r w:rsidRPr="00F137FE">
        <w:rPr>
          <w:rFonts w:ascii="等线" w:eastAsia="等线" w:hAnsi="Times New Roman"/>
          <w:color w:val="000000"/>
        </w:rPr>
        <w:t>Shanghai Jiao Tong University, LL.B</w:t>
      </w:r>
    </w:p>
    <w:p w14:paraId="5B253F0D" w14:textId="77777777" w:rsidR="00F137FE" w:rsidRDefault="00F137FE" w:rsidP="00F137FE">
      <w:pPr>
        <w:pStyle w:val="af5"/>
        <w:spacing w:after="0" w:line="480" w:lineRule="auto"/>
        <w:rPr>
          <w:rFonts w:ascii="等线" w:eastAsia="等线" w:hAnsi="等线"/>
          <w:b/>
          <w:sz w:val="24"/>
        </w:rPr>
      </w:pPr>
      <w:r w:rsidRPr="00F137FE">
        <w:rPr>
          <w:rFonts w:ascii="等线" w:eastAsia="等线" w:hAnsi="等线"/>
          <w:b/>
          <w:sz w:val="24"/>
        </w:rPr>
        <w:t>Professional Qualification</w:t>
      </w:r>
    </w:p>
    <w:p w14:paraId="51307982" w14:textId="77777777" w:rsidR="00F137FE" w:rsidRDefault="00F137FE" w:rsidP="00F137FE">
      <w:pPr>
        <w:pStyle w:val="af5"/>
        <w:numPr>
          <w:ilvl w:val="0"/>
          <w:numId w:val="16"/>
        </w:numPr>
        <w:spacing w:before="120"/>
        <w:ind w:left="690" w:hanging="240"/>
        <w:rPr>
          <w:rFonts w:ascii="等线" w:eastAsia="等线" w:hAnsi="Times New Roman"/>
          <w:color w:val="000000"/>
        </w:rPr>
      </w:pPr>
      <w:r w:rsidRPr="00F137FE">
        <w:rPr>
          <w:rFonts w:ascii="等线" w:eastAsia="等线" w:hAnsi="Times New Roman"/>
          <w:color w:val="000000"/>
        </w:rPr>
        <w:t>Admitted to practice in the PRC.</w:t>
      </w:r>
    </w:p>
    <w:p w14:paraId="29E5A78C" w14:textId="77777777" w:rsidR="00F137FE" w:rsidRDefault="00F137FE" w:rsidP="00F137FE">
      <w:pPr>
        <w:pStyle w:val="af5"/>
        <w:spacing w:after="0" w:line="480" w:lineRule="auto"/>
        <w:rPr>
          <w:rFonts w:ascii="等线" w:eastAsia="等线" w:hAnsi="等线"/>
          <w:b/>
          <w:sz w:val="24"/>
        </w:rPr>
      </w:pPr>
      <w:r w:rsidRPr="00F137FE">
        <w:rPr>
          <w:rFonts w:ascii="等线" w:eastAsia="等线" w:hAnsi="等线"/>
          <w:b/>
          <w:sz w:val="24"/>
        </w:rPr>
        <w:t>Professional Background</w:t>
      </w:r>
    </w:p>
    <w:p w14:paraId="5567FC3C" w14:textId="6A597462" w:rsidR="00686369" w:rsidRPr="00F137FE" w:rsidRDefault="00F137FE" w:rsidP="00F137FE">
      <w:pPr>
        <w:pStyle w:val="af5"/>
        <w:numPr>
          <w:ilvl w:val="0"/>
          <w:numId w:val="17"/>
        </w:numPr>
        <w:spacing w:before="120"/>
        <w:ind w:left="690" w:hanging="240"/>
        <w:rPr>
          <w:rFonts w:ascii="等线" w:eastAsia="等线" w:hAnsi="Times New Roman"/>
          <w:color w:val="000000"/>
        </w:rPr>
      </w:pPr>
      <w:r w:rsidRPr="00F137FE">
        <w:rPr>
          <w:rFonts w:ascii="等线" w:eastAsia="等线" w:hAnsi="Times New Roman"/>
          <w:color w:val="000000"/>
        </w:rPr>
        <w:t>Mr. Zhu joined Fangda in 2016.</w:t>
      </w:r>
    </w:p>
    <w:sectPr w:rsidR="00686369" w:rsidRPr="00F137F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B2F72"/>
    <w:multiLevelType w:val="singleLevel"/>
    <w:tmpl w:val="44F2563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3624C7"/>
    <w:multiLevelType w:val="singleLevel"/>
    <w:tmpl w:val="09A446C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BF45D6"/>
    <w:multiLevelType w:val="singleLevel"/>
    <w:tmpl w:val="45E0241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4D1B56"/>
    <w:multiLevelType w:val="singleLevel"/>
    <w:tmpl w:val="E86C288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6956F4"/>
    <w:multiLevelType w:val="singleLevel"/>
    <w:tmpl w:val="B892428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2451F18"/>
    <w:multiLevelType w:val="singleLevel"/>
    <w:tmpl w:val="09A446C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4A11E38"/>
    <w:multiLevelType w:val="singleLevel"/>
    <w:tmpl w:val="4CDE68A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5F941F1"/>
    <w:multiLevelType w:val="singleLevel"/>
    <w:tmpl w:val="66DC8D2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435135DC"/>
    <w:multiLevelType w:val="singleLevel"/>
    <w:tmpl w:val="6076036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2DB5D41"/>
    <w:multiLevelType w:val="singleLevel"/>
    <w:tmpl w:val="A88ED0D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C38292F"/>
    <w:multiLevelType w:val="singleLevel"/>
    <w:tmpl w:val="CE98186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F13194B"/>
    <w:multiLevelType w:val="singleLevel"/>
    <w:tmpl w:val="4E2EA86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B6A03AB"/>
    <w:multiLevelType w:val="singleLevel"/>
    <w:tmpl w:val="2E3AAB0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4262117"/>
    <w:multiLevelType w:val="singleLevel"/>
    <w:tmpl w:val="D990F31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7D8668F"/>
    <w:multiLevelType w:val="singleLevel"/>
    <w:tmpl w:val="4576450A"/>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9"/>
  </w:num>
  <w:num w:numId="3">
    <w:abstractNumId w:val="15"/>
  </w:num>
  <w:num w:numId="4">
    <w:abstractNumId w:val="14"/>
  </w:num>
  <w:num w:numId="5">
    <w:abstractNumId w:val="10"/>
  </w:num>
  <w:num w:numId="6">
    <w:abstractNumId w:val="0"/>
  </w:num>
  <w:num w:numId="7">
    <w:abstractNumId w:val="12"/>
  </w:num>
  <w:num w:numId="8">
    <w:abstractNumId w:val="6"/>
  </w:num>
  <w:num w:numId="9">
    <w:abstractNumId w:val="3"/>
  </w:num>
  <w:num w:numId="10">
    <w:abstractNumId w:val="11"/>
  </w:num>
  <w:num w:numId="11">
    <w:abstractNumId w:val="2"/>
  </w:num>
  <w:num w:numId="12">
    <w:abstractNumId w:val="13"/>
  </w:num>
  <w:num w:numId="13">
    <w:abstractNumId w:val="16"/>
  </w:num>
  <w:num w:numId="14">
    <w:abstractNumId w:val="4"/>
  </w:num>
  <w:num w:numId="15">
    <w:abstractNumId w:val="8"/>
  </w:num>
  <w:num w:numId="16">
    <w:abstractNumId w:val="5"/>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137FE"/>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137FE"/>
    <w:pPr>
      <w:spacing w:after="120"/>
    </w:pPr>
  </w:style>
  <w:style w:type="character" w:customStyle="1" w:styleId="af6">
    <w:name w:val="正文文本 字符"/>
    <w:basedOn w:val="a0"/>
    <w:link w:val="af5"/>
    <w:uiPriority w:val="99"/>
    <w:rsid w:val="00F137F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6F8D51-16A4-4F56-90E1-C64088596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290</Words>
  <Characters>1653</Characters>
  <Application>Microsoft Office Word</Application>
  <DocSecurity>0</DocSecurity>
  <Lines>13</Lines>
  <Paragraphs>3</Paragraphs>
  <ScaleCrop>false</ScaleCrop>
  <Company/>
  <LinksUpToDate>false</LinksUpToDate>
  <CharactersWithSpaces>1940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2026-06-02T19:21:00Z</dcterms:created>
  <dcterms:modified xsi:type="dcterms:W3CDTF">2026-06-02T19:21:00Z</dcterms:modified>
</cp:coreProperties>
</file>