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203129F" w:rsidR="0049405C" w:rsidRPr="00C24D79" w:rsidRDefault="00835A74" w:rsidP="00835A7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35A74">
              <w:rPr>
                <w:rFonts w:ascii="等线" w:eastAsia="等线" w:hAnsi="Times New Roman"/>
                <w:b/>
                <w:color w:val="000000"/>
                <w:sz w:val="48"/>
              </w:rPr>
              <w:t>HAIPAN HU</w:t>
            </w:r>
            <w:bookmarkEnd w:id="0"/>
          </w:p>
          <w:p w14:paraId="706EB16B" w14:textId="5AEE2DA2" w:rsidR="0049405C" w:rsidRPr="00C24D79" w:rsidRDefault="00835A74" w:rsidP="00835A7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35A74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835A7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35A74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7E5991D0" w:rsidR="0049405C" w:rsidRPr="00C24D79" w:rsidRDefault="00835A74" w:rsidP="00835A7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35A74">
              <w:rPr>
                <w:rFonts w:ascii="等线" w:eastAsia="等线" w:hAnsi="Times New Roman"/>
                <w:color w:val="000000"/>
              </w:rPr>
              <w:t xml:space="preserve">+86 755 8159 3960 </w:t>
            </w:r>
            <w:bookmarkEnd w:id="3"/>
          </w:p>
          <w:p w14:paraId="4F910ACA" w14:textId="4D3BE354" w:rsidR="0049405C" w:rsidRPr="00C24D79" w:rsidRDefault="00835A74" w:rsidP="00835A7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35A74">
              <w:rPr>
                <w:rFonts w:ascii="等线" w:eastAsia="等线" w:hAnsi="Times New Roman"/>
                <w:color w:val="000000"/>
              </w:rPr>
              <w:t>haipan.hu@fangdalaw.com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445C405" w:rsidR="0049405C" w:rsidRPr="00C24D79" w:rsidRDefault="00835A7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37DC1D1" wp14:editId="1E0C2A6A">
                  <wp:extent cx="1651000" cy="23114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31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D8CF6A5" w:rsidR="009465FB" w:rsidRPr="00C24D79" w:rsidRDefault="00835A7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35A74">
              <w:rPr>
                <w:rFonts w:ascii="等线" w:eastAsia="等线" w:hAnsi="Times New Roman"/>
                <w:color w:val="000000"/>
                <w:szCs w:val="21"/>
              </w:rPr>
              <w:t>MS. HU</w:t>
            </w:r>
            <w:r w:rsidRPr="00835A74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835A74">
              <w:rPr>
                <w:rFonts w:ascii="等线" w:eastAsia="等线" w:hAnsi="Times New Roman"/>
                <w:color w:val="000000"/>
                <w:szCs w:val="21"/>
              </w:rPr>
              <w:t>S PRACTICE INCLUDES M&amp;A, PRIVATE EQUITY INVESTMENT, OUTBOUND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D7DB67C" w14:textId="77777777" w:rsidR="00835A7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3A571F1" w14:textId="77777777" w:rsidR="00835A74" w:rsidRDefault="00835A74" w:rsidP="00835A7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35A74">
        <w:rPr>
          <w:rFonts w:ascii="等线" w:eastAsia="等线" w:hAnsi="等线"/>
          <w:b/>
          <w:sz w:val="24"/>
        </w:rPr>
        <w:t>REPRESENTATIVE MATTERS AND CASES</w:t>
      </w:r>
    </w:p>
    <w:p w14:paraId="1AC3A87C" w14:textId="77777777" w:rsidR="00835A74" w:rsidRDefault="00835A74" w:rsidP="00835A74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B344ACC" w14:textId="77777777" w:rsidR="00835A74" w:rsidRDefault="00835A74" w:rsidP="00835A7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Represented Alibaba and Ant Financial in their acquisitions, strategic investments, and cooperations with enterprises in different industries such as TMT, manufacturing and retail</w:t>
      </w:r>
    </w:p>
    <w:p w14:paraId="7416496E" w14:textId="77777777" w:rsidR="00835A74" w:rsidRDefault="00835A74" w:rsidP="00835A7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Represented TCL Technology (000100.SZ) and TCL CSOT as lead counsel in the USD 1.1 billion strategic acquisition of Samsung</w:t>
      </w:r>
      <w:r w:rsidRPr="00835A74">
        <w:rPr>
          <w:rFonts w:ascii="等线" w:eastAsia="等线" w:hAnsi="Times New Roman"/>
          <w:color w:val="000000"/>
        </w:rPr>
        <w:t>’</w:t>
      </w:r>
      <w:r w:rsidRPr="00835A74">
        <w:rPr>
          <w:rFonts w:ascii="等线" w:eastAsia="等线" w:hAnsi="Times New Roman"/>
          <w:color w:val="000000"/>
        </w:rPr>
        <w:t>s LCD business in China</w:t>
      </w:r>
    </w:p>
    <w:p w14:paraId="4B5E8BF2" w14:textId="77777777" w:rsidR="00835A74" w:rsidRDefault="00835A74" w:rsidP="00835A7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Represented TCL CSOT in its joint venture with San</w:t>
      </w:r>
      <w:r w:rsidRPr="00835A74">
        <w:rPr>
          <w:rFonts w:ascii="等线" w:eastAsia="等线" w:hAnsi="Times New Roman"/>
          <w:color w:val="000000"/>
        </w:rPr>
        <w:t>’</w:t>
      </w:r>
      <w:r w:rsidRPr="00835A74">
        <w:rPr>
          <w:rFonts w:ascii="等线" w:eastAsia="等线" w:hAnsi="Times New Roman"/>
          <w:color w:val="000000"/>
        </w:rPr>
        <w:t>an Semiconductor for Micro-LED display technology</w:t>
      </w:r>
    </w:p>
    <w:p w14:paraId="5B79E337" w14:textId="77777777" w:rsidR="00835A74" w:rsidRDefault="00835A74" w:rsidP="00835A7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Represented Mindray (300760. SZ) in several major acquisitions and transactions</w:t>
      </w:r>
    </w:p>
    <w:p w14:paraId="09CD6C18" w14:textId="77777777" w:rsidR="00835A74" w:rsidRDefault="00835A74" w:rsidP="00835A7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Represented Nayuki, a well-known tea beverage brand in China, in its Series C financing involving investment from PAG</w:t>
      </w:r>
    </w:p>
    <w:p w14:paraId="6E6D331E" w14:textId="77777777" w:rsidR="00835A74" w:rsidRDefault="00835A74" w:rsidP="00835A7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Represented Hillhouse in its investments in Akrostar Technology and Jianjia Robot</w:t>
      </w:r>
    </w:p>
    <w:p w14:paraId="6673A13F" w14:textId="77777777" w:rsidR="00835A74" w:rsidRDefault="00835A74" w:rsidP="00835A7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Represented CMC Capital in the equity financing of Taishan Beer, Shiyue Daotian and Forty Nine Union</w:t>
      </w:r>
    </w:p>
    <w:p w14:paraId="551A6780" w14:textId="77777777" w:rsidR="00835A74" w:rsidRDefault="00835A74" w:rsidP="00835A7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Represented an international secondary fund in the design and establishment of its PRC investment structure and vehicles</w:t>
      </w:r>
    </w:p>
    <w:p w14:paraId="39042EC2" w14:textId="77777777" w:rsidR="00835A74" w:rsidRDefault="00835A74" w:rsidP="00835A7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Represented CPE in its various investments in the medical and healthcare industries as well as in the consumer goods industry</w:t>
      </w:r>
    </w:p>
    <w:p w14:paraId="6D9D2A6F" w14:textId="77777777" w:rsidR="00835A74" w:rsidRDefault="00835A74" w:rsidP="00835A7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Represented CMBI International in its investments in offshore-structured deals such as the Series C equity investment in Dmall Inc</w:t>
      </w:r>
    </w:p>
    <w:p w14:paraId="7EF59486" w14:textId="77777777" w:rsidR="00835A74" w:rsidRDefault="00835A74" w:rsidP="00835A7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Represented Jinyi Capital in its strategic investments in various enterprises</w:t>
      </w:r>
    </w:p>
    <w:p w14:paraId="156759C1" w14:textId="77777777" w:rsidR="00835A74" w:rsidRDefault="00835A74" w:rsidP="00835A7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Represented Cushman &amp; Wakefield Vanke Service in its strategic investment in and cooperation with property management service companies</w:t>
      </w:r>
    </w:p>
    <w:p w14:paraId="5A3ADF05" w14:textId="77777777" w:rsidR="00835A74" w:rsidRDefault="00835A74" w:rsidP="00835A7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Represented China Resources Power in its acquisition of wind power projects</w:t>
      </w:r>
    </w:p>
    <w:p w14:paraId="373EEC21" w14:textId="77777777" w:rsidR="00835A74" w:rsidRDefault="00835A74" w:rsidP="00835A7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Represented Kinetic (300326) in its acquisition of Elliquence, LLC, a leading US medical device manufacturer</w:t>
      </w:r>
    </w:p>
    <w:p w14:paraId="1BA763E0" w14:textId="77777777" w:rsidR="00835A74" w:rsidRDefault="00835A74" w:rsidP="00835A7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Represented State Power Investment Corporation in its AUD 3 billion acquisition of Pacific Hydro from IFM through an auction process</w:t>
      </w:r>
    </w:p>
    <w:p w14:paraId="501FF025" w14:textId="77777777" w:rsidR="00835A74" w:rsidRDefault="00835A74" w:rsidP="00835A7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Represented an A-share listed company in its acquisition of UK aviation manufacturing assets</w:t>
      </w:r>
    </w:p>
    <w:p w14:paraId="1335149A" w14:textId="77777777" w:rsidR="00835A74" w:rsidRDefault="00835A74" w:rsidP="00835A7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Represented Hengxin Shambala in its acquisition of shares in New Zealand-based Pukeko Pictures</w:t>
      </w:r>
    </w:p>
    <w:p w14:paraId="56B4C9F3" w14:textId="77777777" w:rsidR="00835A74" w:rsidRDefault="00835A74" w:rsidP="00835A74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Represented a Chinese SOE consortium in its acquisition of Australian cattle station assets</w:t>
      </w:r>
    </w:p>
    <w:p w14:paraId="1B535303" w14:textId="77777777" w:rsidR="00835A74" w:rsidRDefault="00835A74" w:rsidP="00835A74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Represented IDS Medical Systems Group Limited in its joint venture with We Doctor Holdings Limited in Hong Kong</w:t>
      </w:r>
    </w:p>
    <w:p w14:paraId="5A69CC55" w14:textId="77777777" w:rsidR="00835A74" w:rsidRDefault="00835A74" w:rsidP="00835A7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35A74">
        <w:rPr>
          <w:rFonts w:ascii="等线" w:eastAsia="等线" w:hAnsi="等线"/>
          <w:b/>
          <w:sz w:val="24"/>
        </w:rPr>
        <w:t>Education</w:t>
      </w:r>
    </w:p>
    <w:p w14:paraId="73F22DA3" w14:textId="77777777" w:rsidR="00835A74" w:rsidRDefault="00835A74" w:rsidP="00835A74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Peking University, J.M., 2016</w:t>
      </w:r>
    </w:p>
    <w:p w14:paraId="3FC677C3" w14:textId="77777777" w:rsidR="00835A74" w:rsidRDefault="00835A74" w:rsidP="00835A74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Fudan University, B.A., 2013</w:t>
      </w:r>
    </w:p>
    <w:p w14:paraId="6EA956A3" w14:textId="77777777" w:rsidR="00835A74" w:rsidRDefault="00835A74" w:rsidP="00835A7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35A74">
        <w:rPr>
          <w:rFonts w:ascii="等线" w:eastAsia="等线" w:hAnsi="等线"/>
          <w:b/>
          <w:sz w:val="24"/>
        </w:rPr>
        <w:t>Professional Qualification</w:t>
      </w:r>
    </w:p>
    <w:p w14:paraId="04FD58E8" w14:textId="77777777" w:rsidR="00835A74" w:rsidRDefault="00835A74" w:rsidP="00835A74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Admitted to practice in the PRC</w:t>
      </w:r>
    </w:p>
    <w:p w14:paraId="61912EFB" w14:textId="77777777" w:rsidR="00835A74" w:rsidRDefault="00835A74" w:rsidP="00835A7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35A74">
        <w:rPr>
          <w:rFonts w:ascii="等线" w:eastAsia="等线" w:hAnsi="等线"/>
          <w:b/>
          <w:sz w:val="24"/>
        </w:rPr>
        <w:t>Professional Background</w:t>
      </w:r>
    </w:p>
    <w:p w14:paraId="5567FC3C" w14:textId="19C438B7" w:rsidR="00686369" w:rsidRPr="00835A74" w:rsidRDefault="00835A74" w:rsidP="00835A74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35A74">
        <w:rPr>
          <w:rFonts w:ascii="等线" w:eastAsia="等线" w:hAnsi="Times New Roman"/>
          <w:color w:val="000000"/>
        </w:rPr>
        <w:t>Ms. Hu joined Fangda in 2018. Before joining the firm, she worked at a leading domestic law firm.</w:t>
      </w:r>
    </w:p>
    <w:sectPr w:rsidR="00686369" w:rsidRPr="00835A7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1555D"/>
    <w:multiLevelType w:val="singleLevel"/>
    <w:tmpl w:val="2F809C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E1E3C28"/>
    <w:multiLevelType w:val="singleLevel"/>
    <w:tmpl w:val="A24A87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8A7C6C"/>
    <w:multiLevelType w:val="singleLevel"/>
    <w:tmpl w:val="26A030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4F73B1"/>
    <w:multiLevelType w:val="singleLevel"/>
    <w:tmpl w:val="C368FC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12163E"/>
    <w:multiLevelType w:val="singleLevel"/>
    <w:tmpl w:val="1FF8E7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4D017F6"/>
    <w:multiLevelType w:val="singleLevel"/>
    <w:tmpl w:val="841A49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0644707"/>
    <w:multiLevelType w:val="singleLevel"/>
    <w:tmpl w:val="BF1AD6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84B0CEA"/>
    <w:multiLevelType w:val="singleLevel"/>
    <w:tmpl w:val="E764A2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1427426"/>
    <w:multiLevelType w:val="singleLevel"/>
    <w:tmpl w:val="7236F9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20C3E05"/>
    <w:multiLevelType w:val="singleLevel"/>
    <w:tmpl w:val="FBEE77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5EC55AA"/>
    <w:multiLevelType w:val="singleLevel"/>
    <w:tmpl w:val="DA5817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A8416DC"/>
    <w:multiLevelType w:val="singleLevel"/>
    <w:tmpl w:val="CF58E1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44A53696"/>
    <w:multiLevelType w:val="singleLevel"/>
    <w:tmpl w:val="8AFC62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4B9355B"/>
    <w:multiLevelType w:val="singleLevel"/>
    <w:tmpl w:val="0A9E95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5F764D4"/>
    <w:multiLevelType w:val="singleLevel"/>
    <w:tmpl w:val="66CE4B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DEB7235"/>
    <w:multiLevelType w:val="singleLevel"/>
    <w:tmpl w:val="944E11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BF47C20"/>
    <w:multiLevelType w:val="singleLevel"/>
    <w:tmpl w:val="8A7400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DE602D8"/>
    <w:multiLevelType w:val="singleLevel"/>
    <w:tmpl w:val="4ABA24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ECE5C9C"/>
    <w:multiLevelType w:val="singleLevel"/>
    <w:tmpl w:val="4F20F8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59D7D14"/>
    <w:multiLevelType w:val="singleLevel"/>
    <w:tmpl w:val="2F809C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7EE5333"/>
    <w:multiLevelType w:val="singleLevel"/>
    <w:tmpl w:val="C2E081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BE46611"/>
    <w:multiLevelType w:val="singleLevel"/>
    <w:tmpl w:val="786E91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04F5BA7"/>
    <w:multiLevelType w:val="singleLevel"/>
    <w:tmpl w:val="2F8A4A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1BC0C96"/>
    <w:multiLevelType w:val="singleLevel"/>
    <w:tmpl w:val="EE3650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3"/>
  </w:num>
  <w:num w:numId="3">
    <w:abstractNumId w:val="23"/>
  </w:num>
  <w:num w:numId="4">
    <w:abstractNumId w:val="2"/>
  </w:num>
  <w:num w:numId="5">
    <w:abstractNumId w:val="22"/>
  </w:num>
  <w:num w:numId="6">
    <w:abstractNumId w:val="7"/>
  </w:num>
  <w:num w:numId="7">
    <w:abstractNumId w:val="5"/>
  </w:num>
  <w:num w:numId="8">
    <w:abstractNumId w:val="17"/>
  </w:num>
  <w:num w:numId="9">
    <w:abstractNumId w:val="12"/>
  </w:num>
  <w:num w:numId="10">
    <w:abstractNumId w:val="16"/>
  </w:num>
  <w:num w:numId="11">
    <w:abstractNumId w:val="3"/>
  </w:num>
  <w:num w:numId="12">
    <w:abstractNumId w:val="6"/>
  </w:num>
  <w:num w:numId="13">
    <w:abstractNumId w:val="14"/>
  </w:num>
  <w:num w:numId="14">
    <w:abstractNumId w:val="18"/>
  </w:num>
  <w:num w:numId="15">
    <w:abstractNumId w:val="20"/>
  </w:num>
  <w:num w:numId="16">
    <w:abstractNumId w:val="19"/>
  </w:num>
  <w:num w:numId="17">
    <w:abstractNumId w:val="10"/>
  </w:num>
  <w:num w:numId="18">
    <w:abstractNumId w:val="15"/>
  </w:num>
  <w:num w:numId="19">
    <w:abstractNumId w:val="9"/>
  </w:num>
  <w:num w:numId="20">
    <w:abstractNumId w:val="25"/>
  </w:num>
  <w:num w:numId="21">
    <w:abstractNumId w:val="1"/>
  </w:num>
  <w:num w:numId="22">
    <w:abstractNumId w:val="4"/>
  </w:num>
  <w:num w:numId="23">
    <w:abstractNumId w:val="11"/>
  </w:num>
  <w:num w:numId="24">
    <w:abstractNumId w:val="24"/>
  </w:num>
  <w:num w:numId="25">
    <w:abstractNumId w:val="21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35A74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35A7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35A7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918206E-122F-430E-AE3D-D15C4957C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2026-10-28T07:19:00Z</dcterms:created>
  <dcterms:modified xsi:type="dcterms:W3CDTF">2026-10-28T07:19:00Z</dcterms:modified>
</cp:coreProperties>
</file>