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E3D54FA" w:rsidR="0049405C" w:rsidRPr="00C24D79" w:rsidRDefault="006205C1" w:rsidP="006205C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205C1">
              <w:rPr>
                <w:rFonts w:ascii="等线" w:eastAsia="等线" w:hAnsi="Times New Roman"/>
                <w:b/>
                <w:color w:val="000000"/>
                <w:sz w:val="48"/>
              </w:rPr>
              <w:t>CASSIE CHANG</w:t>
            </w:r>
            <w:bookmarkEnd w:id="0"/>
          </w:p>
          <w:p w14:paraId="706EB16B" w14:textId="41F1FE52" w:rsidR="0049405C" w:rsidRPr="00C24D79" w:rsidRDefault="006205C1" w:rsidP="006205C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205C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205C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205C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BB6613C" w:rsidR="0049405C" w:rsidRPr="00C24D79" w:rsidRDefault="006205C1" w:rsidP="006205C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205C1">
              <w:rPr>
                <w:rFonts w:ascii="等线" w:eastAsia="等线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1EBD25A6" w:rsidR="0049405C" w:rsidRPr="00C24D79" w:rsidRDefault="006205C1" w:rsidP="006205C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205C1">
              <w:rPr>
                <w:rFonts w:ascii="等线" w:eastAsia="等线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78EEC99" w:rsidR="0049405C" w:rsidRPr="00C24D79" w:rsidRDefault="006205C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1175603" wp14:editId="3DE3C03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95A05AE" w:rsidR="009465FB" w:rsidRPr="00C24D79" w:rsidRDefault="006205C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205C1">
              <w:rPr>
                <w:rFonts w:ascii="等线" w:eastAsia="等线" w:hAnsi="Times New Roman"/>
                <w:color w:val="000000"/>
                <w:szCs w:val="21"/>
              </w:rPr>
              <w:t>MS CHANG SPECIALIZES IN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D5B91DC" w14:textId="77777777" w:rsidR="006205C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30517C5" w14:textId="77777777" w:rsidR="006205C1" w:rsidRDefault="006205C1" w:rsidP="006205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05C1">
        <w:rPr>
          <w:rFonts w:ascii="等线" w:eastAsia="等线" w:hAnsi="等线"/>
          <w:b/>
          <w:sz w:val="24"/>
        </w:rPr>
        <w:t>REPRESENTATIVE MATTERS AND CASES</w:t>
      </w:r>
    </w:p>
    <w:p w14:paraId="6ECB6B7C" w14:textId="77777777" w:rsidR="006205C1" w:rsidRDefault="006205C1" w:rsidP="006205C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9B34E1D" w14:textId="77777777" w:rsidR="006205C1" w:rsidRDefault="006205C1" w:rsidP="006205C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Innocare Pharma Limited in its IPO on the Sci-Tech Board of the Shanghai Stock Exchange</w:t>
      </w:r>
    </w:p>
    <w:p w14:paraId="21AD5B8B" w14:textId="77777777" w:rsidR="006205C1" w:rsidRDefault="006205C1" w:rsidP="006205C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BeiGene in its IPO on the Sci-Tech Board of the Shanghai Stock Exchange</w:t>
      </w:r>
    </w:p>
    <w:p w14:paraId="773DA1FD" w14:textId="77777777" w:rsidR="006205C1" w:rsidRDefault="006205C1" w:rsidP="006205C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Megvii in its IPO on the Sci-Tech Board of the Shanghai Stock Exchange</w:t>
      </w:r>
    </w:p>
    <w:p w14:paraId="515267B4" w14:textId="77777777" w:rsidR="006205C1" w:rsidRDefault="006205C1" w:rsidP="006205C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XPENG Inc. in its IPO on the HKEX</w:t>
      </w:r>
    </w:p>
    <w:p w14:paraId="3EAAF2D6" w14:textId="77777777" w:rsidR="006205C1" w:rsidRDefault="006205C1" w:rsidP="006205C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BeiGene in its IPO on the HKEX</w:t>
      </w:r>
    </w:p>
    <w:p w14:paraId="6B504F08" w14:textId="77777777" w:rsidR="006205C1" w:rsidRDefault="006205C1" w:rsidP="006205C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Cheshi Holdings Limited in its IPO on the HKEX</w:t>
      </w:r>
    </w:p>
    <w:p w14:paraId="77C43F97" w14:textId="77777777" w:rsidR="006205C1" w:rsidRDefault="006205C1" w:rsidP="006205C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Kingsoft Cloud Holdings Limited in its IPO on the NASDAQ</w:t>
      </w:r>
    </w:p>
    <w:p w14:paraId="4C5A6ED4" w14:textId="77777777" w:rsidR="006205C1" w:rsidRDefault="006205C1" w:rsidP="006205C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XPENG Inc. in its IPO on the NYSE</w:t>
      </w:r>
    </w:p>
    <w:p w14:paraId="44CFBC64" w14:textId="77777777" w:rsidR="006205C1" w:rsidRDefault="006205C1" w:rsidP="006205C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Jianpu Technology Inc. (Rong360) in its IPO on the NYSE</w:t>
      </w:r>
    </w:p>
    <w:p w14:paraId="6ED570DF" w14:textId="77777777" w:rsidR="006205C1" w:rsidRDefault="006205C1" w:rsidP="006205C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IPO of UP Fintech Holding Limited on the NASDAQ</w:t>
      </w:r>
    </w:p>
    <w:p w14:paraId="308225A9" w14:textId="77777777" w:rsidR="006205C1" w:rsidRDefault="006205C1" w:rsidP="006205C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the underwriter Rodman &amp; Renshaw in connection with the IPO of Beyond Spring Inc. on the NASDAQ</w:t>
      </w:r>
    </w:p>
    <w:p w14:paraId="229E60FA" w14:textId="77777777" w:rsidR="006205C1" w:rsidRDefault="006205C1" w:rsidP="006205C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the underwriters Morgan Stanley and J.P. Morgan in the Kingsoft Corporation Limited issuance of HK$3.1 billion in convertible bonds due 2025</w:t>
      </w:r>
    </w:p>
    <w:p w14:paraId="7DC1D076" w14:textId="77777777" w:rsidR="006205C1" w:rsidRDefault="006205C1" w:rsidP="006205C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Represented Taikang, China Life, Pingan Life and other insurance companies in equity investments and fund investments in Dingdang Healt, an industrial fund of Sino-Ocean Group, Wuhan Lichu, STARTDT, Huadian New Energy Group, etc.</w:t>
      </w:r>
    </w:p>
    <w:p w14:paraId="75A476AA" w14:textId="77777777" w:rsidR="006205C1" w:rsidRDefault="006205C1" w:rsidP="006205C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Acted as legal advisor on general corporate affairs for listed companies including Jianpu (Rong360), Cango, Chindata, Xpeng and Kingsoft Cloud</w:t>
      </w:r>
    </w:p>
    <w:p w14:paraId="15C14B1E" w14:textId="77777777" w:rsidR="006205C1" w:rsidRDefault="006205C1" w:rsidP="006205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05C1">
        <w:rPr>
          <w:rFonts w:ascii="等线" w:eastAsia="等线" w:hAnsi="等线"/>
          <w:b/>
          <w:sz w:val="24"/>
        </w:rPr>
        <w:t>Education</w:t>
      </w:r>
    </w:p>
    <w:p w14:paraId="15D22547" w14:textId="77777777" w:rsidR="006205C1" w:rsidRDefault="006205C1" w:rsidP="006205C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China University of Political Science and Law, LL.M.</w:t>
      </w:r>
    </w:p>
    <w:p w14:paraId="1C14E812" w14:textId="77777777" w:rsidR="006205C1" w:rsidRDefault="006205C1" w:rsidP="006205C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China University of Political Science and Law, LL.B.</w:t>
      </w:r>
    </w:p>
    <w:p w14:paraId="0ABA60DC" w14:textId="77777777" w:rsidR="006205C1" w:rsidRDefault="006205C1" w:rsidP="006205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05C1">
        <w:rPr>
          <w:rFonts w:ascii="等线" w:eastAsia="等线" w:hAnsi="等线"/>
          <w:b/>
          <w:sz w:val="24"/>
        </w:rPr>
        <w:t>Professional Qualification</w:t>
      </w:r>
    </w:p>
    <w:p w14:paraId="5567FC3C" w14:textId="2B229C68" w:rsidR="00686369" w:rsidRPr="006205C1" w:rsidRDefault="006205C1" w:rsidP="006205C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05C1">
        <w:rPr>
          <w:rFonts w:ascii="等线" w:eastAsia="等线" w:hAnsi="Times New Roman"/>
          <w:color w:val="000000"/>
        </w:rPr>
        <w:t>Admitted to practice in the PRC</w:t>
      </w:r>
    </w:p>
    <w:sectPr w:rsidR="00686369" w:rsidRPr="006205C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15190"/>
    <w:multiLevelType w:val="singleLevel"/>
    <w:tmpl w:val="09FECD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A3E7461"/>
    <w:multiLevelType w:val="singleLevel"/>
    <w:tmpl w:val="97BED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2DC11C6"/>
    <w:multiLevelType w:val="singleLevel"/>
    <w:tmpl w:val="3F4CD2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5D7755E"/>
    <w:multiLevelType w:val="singleLevel"/>
    <w:tmpl w:val="37C4A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C8C080A"/>
    <w:multiLevelType w:val="singleLevel"/>
    <w:tmpl w:val="C9AEA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47E4DFC"/>
    <w:multiLevelType w:val="singleLevel"/>
    <w:tmpl w:val="D3ACF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DC413EC"/>
    <w:multiLevelType w:val="singleLevel"/>
    <w:tmpl w:val="87125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E723F43"/>
    <w:multiLevelType w:val="singleLevel"/>
    <w:tmpl w:val="806A0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83700BD"/>
    <w:multiLevelType w:val="singleLevel"/>
    <w:tmpl w:val="D3ACF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07D58D8"/>
    <w:multiLevelType w:val="singleLevel"/>
    <w:tmpl w:val="91E6B9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15365A3"/>
    <w:multiLevelType w:val="singleLevel"/>
    <w:tmpl w:val="C074D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9D016CD"/>
    <w:multiLevelType w:val="singleLevel"/>
    <w:tmpl w:val="D8801E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BE45B09"/>
    <w:multiLevelType w:val="singleLevel"/>
    <w:tmpl w:val="0ADE2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C536BCE"/>
    <w:multiLevelType w:val="singleLevel"/>
    <w:tmpl w:val="79589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3AB2FCA"/>
    <w:multiLevelType w:val="singleLevel"/>
    <w:tmpl w:val="5060FF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4F949D8"/>
    <w:multiLevelType w:val="singleLevel"/>
    <w:tmpl w:val="54888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7CB72C5"/>
    <w:multiLevelType w:val="singleLevel"/>
    <w:tmpl w:val="10142B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B5839CA"/>
    <w:multiLevelType w:val="singleLevel"/>
    <w:tmpl w:val="5D0E3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6"/>
  </w:num>
  <w:num w:numId="5">
    <w:abstractNumId w:val="8"/>
  </w:num>
  <w:num w:numId="6">
    <w:abstractNumId w:val="11"/>
  </w:num>
  <w:num w:numId="7">
    <w:abstractNumId w:val="13"/>
  </w:num>
  <w:num w:numId="8">
    <w:abstractNumId w:val="3"/>
  </w:num>
  <w:num w:numId="9">
    <w:abstractNumId w:val="14"/>
  </w:num>
  <w:num w:numId="10">
    <w:abstractNumId w:val="19"/>
  </w:num>
  <w:num w:numId="11">
    <w:abstractNumId w:val="12"/>
  </w:num>
  <w:num w:numId="12">
    <w:abstractNumId w:val="9"/>
  </w:num>
  <w:num w:numId="13">
    <w:abstractNumId w:val="18"/>
  </w:num>
  <w:num w:numId="14">
    <w:abstractNumId w:val="6"/>
  </w:num>
  <w:num w:numId="15">
    <w:abstractNumId w:val="17"/>
  </w:num>
  <w:num w:numId="16">
    <w:abstractNumId w:val="0"/>
  </w:num>
  <w:num w:numId="17">
    <w:abstractNumId w:val="15"/>
  </w:num>
  <w:num w:numId="18">
    <w:abstractNumId w:val="1"/>
  </w:num>
  <w:num w:numId="19">
    <w:abstractNumId w:val="10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205C1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205C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205C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B117C41-9399-4292-AFD9-B2F72BEED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2026-06-03T00:47:00Z</dcterms:created>
  <dcterms:modified xsi:type="dcterms:W3CDTF">2026-06-03T00:47:00Z</dcterms:modified>
</cp:coreProperties>
</file>