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AFD132C" w:rsidR="0049405C" w:rsidRPr="00C24D79" w:rsidRDefault="00FF7A0D" w:rsidP="00FF7A0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F7A0D">
              <w:rPr>
                <w:rFonts w:ascii="等线" w:eastAsia="等线" w:hAnsi="Times New Roman"/>
                <w:b/>
                <w:color w:val="000000"/>
                <w:sz w:val="48"/>
              </w:rPr>
              <w:t>EUNICE DAI</w:t>
            </w:r>
            <w:bookmarkEnd w:id="0"/>
          </w:p>
          <w:p w14:paraId="706EB16B" w14:textId="29D52ECA" w:rsidR="0049405C" w:rsidRPr="00C24D79" w:rsidRDefault="00FF7A0D" w:rsidP="00FF7A0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F7A0D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F7A0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F7A0D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270D0E0" w:rsidR="0049405C" w:rsidRPr="00C24D79" w:rsidRDefault="00FF7A0D" w:rsidP="00FF7A0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F7A0D">
              <w:rPr>
                <w:rFonts w:ascii="等线" w:eastAsia="等线" w:hAnsi="Times New Roman"/>
                <w:color w:val="000000"/>
              </w:rPr>
              <w:t xml:space="preserve">+86 10 5769 4282 </w:t>
            </w:r>
            <w:bookmarkEnd w:id="3"/>
          </w:p>
          <w:p w14:paraId="4F910ACA" w14:textId="6D0A04E1" w:rsidR="0049405C" w:rsidRPr="00C24D79" w:rsidRDefault="00FF7A0D" w:rsidP="00FF7A0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F7A0D">
              <w:rPr>
                <w:rFonts w:ascii="等线" w:eastAsia="等线" w:hAnsi="Times New Roman"/>
                <w:color w:val="000000"/>
              </w:rPr>
              <w:t>eunice.dai@fangdalaw.com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F6E65B5" w:rsidR="0049405C" w:rsidRPr="00C24D79" w:rsidRDefault="00FF7A0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9407818" wp14:editId="659DCDB3">
                  <wp:extent cx="1651000" cy="2205155"/>
                  <wp:effectExtent l="0" t="0" r="6350" b="508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2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46A0DF8" w:rsidR="009465FB" w:rsidRPr="00C24D79" w:rsidRDefault="00FF7A0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F7A0D">
              <w:rPr>
                <w:rFonts w:ascii="等线" w:eastAsia="等线" w:hAnsi="Times New Roman"/>
                <w:color w:val="000000"/>
                <w:szCs w:val="21"/>
              </w:rPr>
              <w:t>MS. DAI SPECIALIZES IN DOMESTIC AND INTERNATIONAL SECURITIES OFFERINGS AND LISTINGS, M&amp;A, CORPORATE FINANCE, AND GENERAL CORPORATE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DD38878" w14:textId="77777777" w:rsidR="00FF7A0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E016845" w14:textId="77777777" w:rsidR="00FF7A0D" w:rsidRDefault="00FF7A0D" w:rsidP="00FF7A0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F7A0D">
        <w:rPr>
          <w:rFonts w:ascii="等线" w:eastAsia="等线" w:hAnsi="等线"/>
          <w:b/>
          <w:sz w:val="24"/>
        </w:rPr>
        <w:t>REPRESENTATIVE MATTERS AND CASES</w:t>
      </w:r>
    </w:p>
    <w:p w14:paraId="7816E5FD" w14:textId="77777777" w:rsidR="00FF7A0D" w:rsidRDefault="00FF7A0D" w:rsidP="00FF7A0D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8574AEB" w14:textId="77777777" w:rsidR="00FF7A0D" w:rsidRDefault="00FF7A0D" w:rsidP="00FF7A0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69302778" w14:textId="77777777" w:rsidR="00FF7A0D" w:rsidRDefault="00FF7A0D" w:rsidP="00FF7A0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 STAR market</w:t>
      </w:r>
    </w:p>
    <w:p w14:paraId="04487C49" w14:textId="77777777" w:rsidR="00FF7A0D" w:rsidRDefault="00FF7A0D" w:rsidP="00FF7A0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Xinyaqiang Silicon Chemistry Co., Ltd (603155.SH) in its A-share IPO and listing on the Shanghai Stock Exchange</w:t>
      </w:r>
    </w:p>
    <w:p w14:paraId="0820D904" w14:textId="77777777" w:rsidR="00FF7A0D" w:rsidRDefault="00FF7A0D" w:rsidP="00FF7A0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Cowealth Medical China Co., Ltd. (603122.SH) in its A-share IPO and listing on the Shanghai Stock Exchange</w:t>
      </w:r>
    </w:p>
    <w:p w14:paraId="244C13A0" w14:textId="77777777" w:rsidR="00FF7A0D" w:rsidRDefault="00FF7A0D" w:rsidP="00FF7A0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Jiangsu Huachen Transformer Co., Ltd. (603097.SH) in its A-share IPO and listing on the Shanghai Stock Exchange</w:t>
      </w:r>
    </w:p>
    <w:p w14:paraId="2A211A16" w14:textId="77777777" w:rsidR="00FF7A0D" w:rsidRDefault="00FF7A0D" w:rsidP="00FF7A0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the sponsor CICC in connection with Foxconn Industrial Internet Co., Ltd.</w:t>
      </w:r>
      <w:r w:rsidRPr="00FF7A0D">
        <w:rPr>
          <w:rFonts w:ascii="等线" w:eastAsia="等线" w:hAnsi="Times New Roman"/>
          <w:color w:val="000000"/>
        </w:rPr>
        <w:t>’</w:t>
      </w:r>
      <w:r w:rsidRPr="00FF7A0D">
        <w:rPr>
          <w:rFonts w:ascii="等线" w:eastAsia="等线" w:hAnsi="Times New Roman"/>
          <w:color w:val="000000"/>
        </w:rPr>
        <w:t>s (601138.SH) A-share IPO and listing on the Shanghai Stock Exchange</w:t>
      </w:r>
    </w:p>
    <w:p w14:paraId="11C8DB5E" w14:textId="77777777" w:rsidR="00FF7A0D" w:rsidRDefault="00FF7A0D" w:rsidP="00FF7A0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the underwriter GSGH in connection with Contemporary Amperex Technology Co., Limited</w:t>
      </w:r>
      <w:r w:rsidRPr="00FF7A0D">
        <w:rPr>
          <w:rFonts w:ascii="等线" w:eastAsia="等线" w:hAnsi="Times New Roman"/>
          <w:color w:val="000000"/>
        </w:rPr>
        <w:t>’</w:t>
      </w:r>
      <w:r w:rsidRPr="00FF7A0D">
        <w:rPr>
          <w:rFonts w:ascii="等线" w:eastAsia="等线" w:hAnsi="Times New Roman"/>
          <w:color w:val="000000"/>
        </w:rPr>
        <w:t>s (300750.SZ) A-share IPO and listing on Shenzhen Stock Exchange Growth Enterprise Market</w:t>
      </w:r>
    </w:p>
    <w:p w14:paraId="75A1FBE5" w14:textId="77777777" w:rsidR="00FF7A0D" w:rsidRDefault="00FF7A0D" w:rsidP="00FF7A0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Qingdao Tianneng Heavy Industries Co., Ltd. (300568.SZ) in its A-share IPO and listing on the Shenzhen Stock Exchange Growth Enterprise Market</w:t>
      </w:r>
    </w:p>
    <w:p w14:paraId="566734A7" w14:textId="77777777" w:rsidR="00FF7A0D" w:rsidRDefault="00FF7A0D" w:rsidP="00FF7A0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Ningbo Ginlong Technologies Co., Ltd. (300763.SZ) in its A-share IPO and listing on the Shenzhen Stock Exchange Growth Enterprise Market</w:t>
      </w:r>
    </w:p>
    <w:p w14:paraId="5441BE48" w14:textId="77777777" w:rsidR="00FF7A0D" w:rsidRDefault="00FF7A0D" w:rsidP="00FF7A0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the sponsor CICC in connection with Qingdao Topscomm Communication Inc. (603421.SH)</w:t>
      </w:r>
      <w:r w:rsidRPr="00FF7A0D">
        <w:rPr>
          <w:rFonts w:ascii="等线" w:eastAsia="等线" w:hAnsi="Times New Roman"/>
          <w:color w:val="000000"/>
        </w:rPr>
        <w:t>’</w:t>
      </w:r>
      <w:r w:rsidRPr="00FF7A0D">
        <w:rPr>
          <w:rFonts w:ascii="等线" w:eastAsia="等线" w:hAnsi="Times New Roman"/>
          <w:color w:val="000000"/>
        </w:rPr>
        <w:t>s A-share IPO and listing on the Shanghai Stock Exchange and issuance of convertible bonds</w:t>
      </w:r>
    </w:p>
    <w:p w14:paraId="0F74FE60" w14:textId="77777777" w:rsidR="00FF7A0D" w:rsidRDefault="00FF7A0D" w:rsidP="00FF7A0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5B51E40A" w14:textId="77777777" w:rsidR="00FF7A0D" w:rsidRDefault="00FF7A0D" w:rsidP="00FF7A0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GCL System Integration Technology Co., Ltd. (002506.SZ) in its relisiting on the Shenzhen Stock Exchange and major asset reorganization</w:t>
      </w:r>
    </w:p>
    <w:p w14:paraId="11C9DD31" w14:textId="77777777" w:rsidR="00FF7A0D" w:rsidRDefault="00FF7A0D" w:rsidP="00FF7A0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the sponsors CICC and UBSS in connection with CRRC Corporation Limited (601766.SH)</w:t>
      </w:r>
      <w:r w:rsidRPr="00FF7A0D">
        <w:rPr>
          <w:rFonts w:ascii="等线" w:eastAsia="等线" w:hAnsi="Times New Roman"/>
          <w:color w:val="000000"/>
        </w:rPr>
        <w:t>’</w:t>
      </w:r>
      <w:r w:rsidRPr="00FF7A0D">
        <w:rPr>
          <w:rFonts w:ascii="等线" w:eastAsia="等线" w:hAnsi="Times New Roman"/>
          <w:color w:val="000000"/>
        </w:rPr>
        <w:t>s non-public issuance of A shares</w:t>
      </w:r>
    </w:p>
    <w:p w14:paraId="23217067" w14:textId="77777777" w:rsidR="00FF7A0D" w:rsidRDefault="00FF7A0D" w:rsidP="00FF7A0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TPV Technology Limited in connection with Nanjing Huadong Electronics Information &amp; Technology Co., Ltd. (000727.SZ)</w:t>
      </w:r>
      <w:r w:rsidRPr="00FF7A0D">
        <w:rPr>
          <w:rFonts w:ascii="等线" w:eastAsia="等线" w:hAnsi="Times New Roman"/>
          <w:color w:val="000000"/>
        </w:rPr>
        <w:t>’</w:t>
      </w:r>
      <w:r w:rsidRPr="00FF7A0D">
        <w:rPr>
          <w:rFonts w:ascii="等线" w:eastAsia="等线" w:hAnsi="Times New Roman"/>
          <w:color w:val="000000"/>
        </w:rPr>
        <w:t>s purchase of 51% shares of TPV Technology Limited and sale of Nanjing Huadong Electronics</w:t>
      </w:r>
      <w:r w:rsidRPr="00FF7A0D">
        <w:rPr>
          <w:rFonts w:ascii="等线" w:eastAsia="等线" w:hAnsi="Times New Roman"/>
          <w:color w:val="000000"/>
        </w:rPr>
        <w:t>’</w:t>
      </w:r>
      <w:r w:rsidRPr="00FF7A0D">
        <w:rPr>
          <w:rFonts w:ascii="等线" w:eastAsia="等线" w:hAnsi="Times New Roman"/>
          <w:color w:val="000000"/>
        </w:rPr>
        <w:t xml:space="preserve"> total assets</w:t>
      </w:r>
    </w:p>
    <w:p w14:paraId="484EFA57" w14:textId="77777777" w:rsidR="00FF7A0D" w:rsidRDefault="00FF7A0D" w:rsidP="00FF7A0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Sichuan Tewoo Electromechanical Co., Ltd. (000757.SZ) in its share issuance and cash payment to the controlling shareholder of Neijiang Pengxiang to purchase 100% equity interest in Neijiang Pengxiang and to raise matching funds</w:t>
      </w:r>
    </w:p>
    <w:p w14:paraId="33BC5C0E" w14:textId="77777777" w:rsidR="00FF7A0D" w:rsidRDefault="00FF7A0D" w:rsidP="00FF7A0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SK China Investments in its investment in BYD Semiconductor</w:t>
      </w:r>
    </w:p>
    <w:p w14:paraId="3F50328E" w14:textId="77777777" w:rsidR="00FF7A0D" w:rsidRDefault="00FF7A0D" w:rsidP="00FF7A0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Walden International Investments in its investment in Anyka Microelectronics (Guangzhou) Co. Ltd</w:t>
      </w:r>
    </w:p>
    <w:p w14:paraId="44F7BF39" w14:textId="77777777" w:rsidR="00FF7A0D" w:rsidRDefault="00FF7A0D" w:rsidP="00FF7A0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National IC Industry Investment Fund Phase II in its investment in Semiconductor Manufacturing International (Shenzhen) Corporation</w:t>
      </w:r>
    </w:p>
    <w:p w14:paraId="1156B52A" w14:textId="77777777" w:rsidR="00FF7A0D" w:rsidRDefault="00FF7A0D" w:rsidP="00FF7A0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Innoscience Suzhou in its shareholding restructuring and D series financing</w:t>
      </w:r>
    </w:p>
    <w:p w14:paraId="6C3E8001" w14:textId="77777777" w:rsidR="00FF7A0D" w:rsidRDefault="00FF7A0D" w:rsidP="00FF7A0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Jiangsu Marching-Power Technology Co., Ltd. in its C series financing</w:t>
      </w:r>
    </w:p>
    <w:p w14:paraId="10AAC33F" w14:textId="77777777" w:rsidR="00FF7A0D" w:rsidRDefault="00FF7A0D" w:rsidP="00FF7A0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Beijing Data Intelink Technology Co., Ltd. in its pre-IPO financing</w:t>
      </w:r>
    </w:p>
    <w:p w14:paraId="77111986" w14:textId="77777777" w:rsidR="00FF7A0D" w:rsidRDefault="00FF7A0D" w:rsidP="00FF7A0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GCL New Energy (00451.HK) in its nationwide acquisition of 467 MW of photovoltaic assets</w:t>
      </w:r>
    </w:p>
    <w:p w14:paraId="709C9641" w14:textId="77777777" w:rsidR="00FF7A0D" w:rsidRDefault="00FF7A0D" w:rsidP="00FF7A0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Poly GCL (03800.HK) in its nationwide acquisition of 342 MW of photovoltaic assets</w:t>
      </w:r>
    </w:p>
    <w:p w14:paraId="24B667C1" w14:textId="77777777" w:rsidR="00FF7A0D" w:rsidRDefault="00FF7A0D" w:rsidP="00FF7A0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CGN SEDC in its nationwide acquisition of 280 MW of photovoltaic assets</w:t>
      </w:r>
    </w:p>
    <w:p w14:paraId="4FAC1448" w14:textId="77777777" w:rsidR="00FF7A0D" w:rsidRDefault="00FF7A0D" w:rsidP="00FF7A0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Anxin Trust in its acquisition of 280 MW of photovoltaic assets in Gansu</w:t>
      </w:r>
    </w:p>
    <w:p w14:paraId="353348E3" w14:textId="77777777" w:rsidR="00FF7A0D" w:rsidRDefault="00FF7A0D" w:rsidP="00FF7A0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Zhending Technology in its USD400 million convertible debenture offering</w:t>
      </w:r>
    </w:p>
    <w:p w14:paraId="1CDCD312" w14:textId="77777777" w:rsidR="00FF7A0D" w:rsidRDefault="00FF7A0D" w:rsidP="00FF7A0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the underwriter CICC in its issuance and underwriting of corporate bonds, green bonds and panda bonds</w:t>
      </w:r>
    </w:p>
    <w:p w14:paraId="32829C95" w14:textId="77777777" w:rsidR="00FF7A0D" w:rsidRDefault="00FF7A0D" w:rsidP="00FF7A0D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GCL System Integration Technology Co., Ltd. (002506.SZ), Taicang Harbour Golden Concord Electric-power Generation Co., Ltd. and other members of GCL Group in their issuance of short-term financing bills, ultra-short-term financing bills, and medium-term notes</w:t>
      </w:r>
    </w:p>
    <w:p w14:paraId="3903F27E" w14:textId="77777777" w:rsidR="00FF7A0D" w:rsidRDefault="00FF7A0D" w:rsidP="00FF7A0D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Represented the underwriter China Galaxy Securities in its underwriting of corporate bonds, green bonds and panda bonds</w:t>
      </w:r>
    </w:p>
    <w:p w14:paraId="2354B337" w14:textId="77777777" w:rsidR="00FF7A0D" w:rsidRDefault="00FF7A0D" w:rsidP="00FF7A0D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Acted as legal consultant for Avary Holding (Shenzhen) Co., Limited (002938.SZ), Xinyaqiang Silicon Chemistry Co., Ltd (603155.SH), etc.</w:t>
      </w:r>
    </w:p>
    <w:p w14:paraId="20FD3737" w14:textId="77777777" w:rsidR="00FF7A0D" w:rsidRDefault="00FF7A0D" w:rsidP="00FF7A0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F7A0D">
        <w:rPr>
          <w:rFonts w:ascii="等线" w:eastAsia="等线" w:hAnsi="等线"/>
          <w:b/>
          <w:sz w:val="24"/>
        </w:rPr>
        <w:t>Education</w:t>
      </w:r>
    </w:p>
    <w:p w14:paraId="6201A7BD" w14:textId="77777777" w:rsidR="00FF7A0D" w:rsidRDefault="00FF7A0D" w:rsidP="00FF7A0D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East China University of Political Science and Law, LL.B.</w:t>
      </w:r>
    </w:p>
    <w:p w14:paraId="09CDD642" w14:textId="77777777" w:rsidR="00FF7A0D" w:rsidRDefault="00FF7A0D" w:rsidP="00FF7A0D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China University of Political Science and Law, LL.M.</w:t>
      </w:r>
    </w:p>
    <w:p w14:paraId="1D5D24E1" w14:textId="77777777" w:rsidR="00FF7A0D" w:rsidRDefault="00FF7A0D" w:rsidP="00FF7A0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F7A0D">
        <w:rPr>
          <w:rFonts w:ascii="等线" w:eastAsia="等线" w:hAnsi="等线"/>
          <w:b/>
          <w:sz w:val="24"/>
        </w:rPr>
        <w:t>Professional Qualification</w:t>
      </w:r>
    </w:p>
    <w:p w14:paraId="5FEE1B59" w14:textId="77777777" w:rsidR="00FF7A0D" w:rsidRDefault="00FF7A0D" w:rsidP="00FF7A0D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Admitted to practice in the PRC</w:t>
      </w:r>
    </w:p>
    <w:p w14:paraId="33EA2E02" w14:textId="77777777" w:rsidR="00FF7A0D" w:rsidRDefault="00FF7A0D" w:rsidP="00FF7A0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F7A0D">
        <w:rPr>
          <w:rFonts w:ascii="等线" w:eastAsia="等线" w:hAnsi="等线"/>
          <w:b/>
          <w:sz w:val="24"/>
        </w:rPr>
        <w:t>Professional Background</w:t>
      </w:r>
    </w:p>
    <w:p w14:paraId="5567FC3C" w14:textId="39F3D107" w:rsidR="00686369" w:rsidRPr="00FF7A0D" w:rsidRDefault="00FF7A0D" w:rsidP="00FF7A0D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7A0D">
        <w:rPr>
          <w:rFonts w:ascii="等线" w:eastAsia="等线" w:hAnsi="Times New Roman"/>
          <w:color w:val="000000"/>
        </w:rPr>
        <w:t>Ms. Dai joined Fangda in 2017. Before joining the firm, she worked at other first-tier PRC law firms in Beijing</w:t>
      </w:r>
    </w:p>
    <w:sectPr w:rsidR="00686369" w:rsidRPr="00FF7A0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13A00"/>
    <w:multiLevelType w:val="singleLevel"/>
    <w:tmpl w:val="7FE04D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F82458"/>
    <w:multiLevelType w:val="singleLevel"/>
    <w:tmpl w:val="E5FA53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4F53D6"/>
    <w:multiLevelType w:val="singleLevel"/>
    <w:tmpl w:val="B0AC3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3A7A89"/>
    <w:multiLevelType w:val="singleLevel"/>
    <w:tmpl w:val="31004A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1116F2"/>
    <w:multiLevelType w:val="singleLevel"/>
    <w:tmpl w:val="6B201F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3D4749"/>
    <w:multiLevelType w:val="singleLevel"/>
    <w:tmpl w:val="E4BE05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A96BBC"/>
    <w:multiLevelType w:val="singleLevel"/>
    <w:tmpl w:val="D1CE55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62843C7"/>
    <w:multiLevelType w:val="singleLevel"/>
    <w:tmpl w:val="406A9F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6B85194"/>
    <w:multiLevelType w:val="singleLevel"/>
    <w:tmpl w:val="B7467E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7DC0408"/>
    <w:multiLevelType w:val="singleLevel"/>
    <w:tmpl w:val="B34CDD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8C50554"/>
    <w:multiLevelType w:val="singleLevel"/>
    <w:tmpl w:val="FAAC47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90C2557"/>
    <w:multiLevelType w:val="singleLevel"/>
    <w:tmpl w:val="F16453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FDC77AC"/>
    <w:multiLevelType w:val="singleLevel"/>
    <w:tmpl w:val="01AA3C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07E33BB"/>
    <w:multiLevelType w:val="singleLevel"/>
    <w:tmpl w:val="94E473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2F4E0279"/>
    <w:multiLevelType w:val="singleLevel"/>
    <w:tmpl w:val="FAB8F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0BB245B"/>
    <w:multiLevelType w:val="singleLevel"/>
    <w:tmpl w:val="DD64E3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7E504BE"/>
    <w:multiLevelType w:val="singleLevel"/>
    <w:tmpl w:val="2B26D5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96D49FF"/>
    <w:multiLevelType w:val="singleLevel"/>
    <w:tmpl w:val="9AE84B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B5310E3"/>
    <w:multiLevelType w:val="singleLevel"/>
    <w:tmpl w:val="DE32BA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D412E3E"/>
    <w:multiLevelType w:val="singleLevel"/>
    <w:tmpl w:val="4E3A8D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0B06E0D"/>
    <w:multiLevelType w:val="singleLevel"/>
    <w:tmpl w:val="869A28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0D028B4"/>
    <w:multiLevelType w:val="singleLevel"/>
    <w:tmpl w:val="B34CDD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41A687D"/>
    <w:multiLevelType w:val="singleLevel"/>
    <w:tmpl w:val="D2C451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8407578"/>
    <w:multiLevelType w:val="singleLevel"/>
    <w:tmpl w:val="EE3052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9DF3140"/>
    <w:multiLevelType w:val="singleLevel"/>
    <w:tmpl w:val="CAF48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3CE3F93"/>
    <w:multiLevelType w:val="singleLevel"/>
    <w:tmpl w:val="C6BCAB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885361F"/>
    <w:multiLevelType w:val="singleLevel"/>
    <w:tmpl w:val="7D00F7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A1768F8"/>
    <w:multiLevelType w:val="singleLevel"/>
    <w:tmpl w:val="A9DCDA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AC91994"/>
    <w:multiLevelType w:val="singleLevel"/>
    <w:tmpl w:val="E0C473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CFE4C34"/>
    <w:multiLevelType w:val="singleLevel"/>
    <w:tmpl w:val="82C43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9F64EFC"/>
    <w:multiLevelType w:val="singleLevel"/>
    <w:tmpl w:val="17B85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0F407DB"/>
    <w:multiLevelType w:val="singleLevel"/>
    <w:tmpl w:val="3DC2BF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8287286"/>
    <w:multiLevelType w:val="singleLevel"/>
    <w:tmpl w:val="8FFAE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E7069F9"/>
    <w:multiLevelType w:val="singleLevel"/>
    <w:tmpl w:val="FA7CED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F2452B2"/>
    <w:multiLevelType w:val="singleLevel"/>
    <w:tmpl w:val="5A4210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20"/>
  </w:num>
  <w:num w:numId="3">
    <w:abstractNumId w:val="7"/>
  </w:num>
  <w:num w:numId="4">
    <w:abstractNumId w:val="19"/>
  </w:num>
  <w:num w:numId="5">
    <w:abstractNumId w:val="34"/>
  </w:num>
  <w:num w:numId="6">
    <w:abstractNumId w:val="2"/>
  </w:num>
  <w:num w:numId="7">
    <w:abstractNumId w:val="30"/>
  </w:num>
  <w:num w:numId="8">
    <w:abstractNumId w:val="22"/>
  </w:num>
  <w:num w:numId="9">
    <w:abstractNumId w:val="28"/>
  </w:num>
  <w:num w:numId="10">
    <w:abstractNumId w:val="17"/>
  </w:num>
  <w:num w:numId="11">
    <w:abstractNumId w:val="4"/>
  </w:num>
  <w:num w:numId="12">
    <w:abstractNumId w:val="16"/>
  </w:num>
  <w:num w:numId="13">
    <w:abstractNumId w:val="24"/>
  </w:num>
  <w:num w:numId="14">
    <w:abstractNumId w:val="15"/>
  </w:num>
  <w:num w:numId="15">
    <w:abstractNumId w:val="29"/>
  </w:num>
  <w:num w:numId="16">
    <w:abstractNumId w:val="18"/>
  </w:num>
  <w:num w:numId="17">
    <w:abstractNumId w:val="25"/>
  </w:num>
  <w:num w:numId="18">
    <w:abstractNumId w:val="26"/>
  </w:num>
  <w:num w:numId="19">
    <w:abstractNumId w:val="11"/>
  </w:num>
  <w:num w:numId="20">
    <w:abstractNumId w:val="0"/>
  </w:num>
  <w:num w:numId="21">
    <w:abstractNumId w:val="36"/>
  </w:num>
  <w:num w:numId="22">
    <w:abstractNumId w:val="5"/>
  </w:num>
  <w:num w:numId="23">
    <w:abstractNumId w:val="12"/>
  </w:num>
  <w:num w:numId="24">
    <w:abstractNumId w:val="27"/>
  </w:num>
  <w:num w:numId="25">
    <w:abstractNumId w:val="33"/>
  </w:num>
  <w:num w:numId="26">
    <w:abstractNumId w:val="31"/>
  </w:num>
  <w:num w:numId="27">
    <w:abstractNumId w:val="10"/>
  </w:num>
  <w:num w:numId="28">
    <w:abstractNumId w:val="35"/>
  </w:num>
  <w:num w:numId="29">
    <w:abstractNumId w:val="13"/>
  </w:num>
  <w:num w:numId="30">
    <w:abstractNumId w:val="3"/>
  </w:num>
  <w:num w:numId="31">
    <w:abstractNumId w:val="21"/>
  </w:num>
  <w:num w:numId="32">
    <w:abstractNumId w:val="6"/>
  </w:num>
  <w:num w:numId="33">
    <w:abstractNumId w:val="1"/>
  </w:num>
  <w:num w:numId="34">
    <w:abstractNumId w:val="8"/>
  </w:num>
  <w:num w:numId="35">
    <w:abstractNumId w:val="32"/>
  </w:num>
  <w:num w:numId="36">
    <w:abstractNumId w:val="23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  <w:rsid w:val="00FF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F7A0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F7A0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1088EB2-0BA0-4108-9F1E-426DB2448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685</Words>
  <Characters>3910</Characters>
  <Application>Microsoft Office Word</Application>
  <DocSecurity>0</DocSecurity>
  <Lines>32</Lines>
  <Paragraphs>9</Paragraphs>
  <ScaleCrop>false</ScaleCrop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2026-10-28T07:00:00Z</dcterms:created>
  <dcterms:modified xsi:type="dcterms:W3CDTF">2026-10-28T07:00:00Z</dcterms:modified>
</cp:coreProperties>
</file>