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BAC6921" w:rsidR="0049405C" w:rsidRPr="00C24D79" w:rsidRDefault="004D124E" w:rsidP="004D124E">
            <w:pPr>
              <w:spacing w:line="720" w:lineRule="auto"/>
              <w:rPr>
                <w:rFonts w:eastAsiaTheme="minorHAnsi"/>
                <w:color w:val="545551"/>
              </w:rPr>
            </w:pPr>
            <w:bookmarkStart w:id="0" w:name="xingming"/>
            <w:bookmarkStart w:id="1" w:name="_GoBack"/>
            <w:bookmarkEnd w:id="1"/>
            <w:r w:rsidRPr="004D124E">
              <w:rPr>
                <w:rFonts w:ascii="等线" w:eastAsia="等线" w:hAnsi="Times New Roman"/>
                <w:b/>
                <w:color w:val="000000"/>
                <w:sz w:val="48"/>
              </w:rPr>
              <w:t>HUIHUI LI</w:t>
            </w:r>
            <w:bookmarkEnd w:id="0"/>
          </w:p>
          <w:p w14:paraId="706EB16B" w14:textId="6049DADF" w:rsidR="0049405C" w:rsidRPr="00C24D79" w:rsidRDefault="004D124E" w:rsidP="004D124E">
            <w:pPr>
              <w:spacing w:line="360" w:lineRule="auto"/>
              <w:rPr>
                <w:rFonts w:eastAsiaTheme="minorHAnsi"/>
                <w:b/>
                <w:bCs/>
                <w:color w:val="545551"/>
              </w:rPr>
            </w:pPr>
            <w:bookmarkStart w:id="2" w:name="didian"/>
            <w:r w:rsidRPr="004D124E">
              <w:rPr>
                <w:rFonts w:ascii="等线" w:eastAsia="等线" w:hAnsi="Times New Roman"/>
                <w:b/>
                <w:bCs/>
                <w:color w:val="000000"/>
              </w:rPr>
              <w:t>Beijing</w:t>
            </w:r>
            <w:bookmarkEnd w:id="2"/>
          </w:p>
          <w:p w14:paraId="6199424A" w14:textId="0C5E8C95" w:rsidR="0049405C" w:rsidRPr="00C24D79" w:rsidRDefault="004D124E" w:rsidP="004D124E">
            <w:pPr>
              <w:spacing w:line="360" w:lineRule="auto"/>
              <w:rPr>
                <w:rFonts w:eastAsiaTheme="minorHAnsi"/>
                <w:color w:val="545551"/>
              </w:rPr>
            </w:pPr>
            <w:bookmarkStart w:id="3" w:name="dianhua"/>
            <w:r w:rsidRPr="004D124E">
              <w:rPr>
                <w:rFonts w:ascii="等线" w:eastAsia="等线" w:hAnsi="Times New Roman"/>
                <w:color w:val="000000"/>
              </w:rPr>
              <w:t xml:space="preserve">+86 10 5769 5797 </w:t>
            </w:r>
            <w:bookmarkEnd w:id="3"/>
          </w:p>
          <w:p w14:paraId="4F910ACA" w14:textId="2243F55D" w:rsidR="0049405C" w:rsidRPr="00C24D79" w:rsidRDefault="004D124E" w:rsidP="004D124E">
            <w:pPr>
              <w:spacing w:line="360" w:lineRule="auto"/>
              <w:rPr>
                <w:rFonts w:eastAsiaTheme="minorHAnsi"/>
                <w:color w:val="000000"/>
              </w:rPr>
            </w:pPr>
            <w:bookmarkStart w:id="4" w:name="youxiang"/>
            <w:r w:rsidRPr="004D124E">
              <w:rPr>
                <w:rFonts w:ascii="等线" w:eastAsia="等线" w:hAnsi="Times New Roman"/>
                <w:color w:val="000000"/>
              </w:rPr>
              <w:t>huihui.li@fangdalaw.com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B905AE" w:rsidR="0049405C" w:rsidRPr="00C24D79" w:rsidRDefault="004D124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61BDFB1" wp14:editId="3BDB11F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428C455" w:rsidR="009465FB" w:rsidRPr="00C24D79" w:rsidRDefault="004D124E" w:rsidP="007177F3">
            <w:pPr>
              <w:rPr>
                <w:rFonts w:eastAsiaTheme="minorHAnsi"/>
                <w:color w:val="000000"/>
                <w:szCs w:val="21"/>
              </w:rPr>
            </w:pPr>
            <w:bookmarkStart w:id="6" w:name="zhiyelingyu"/>
            <w:r w:rsidRPr="004D124E">
              <w:rPr>
                <w:rFonts w:ascii="等线" w:eastAsia="等线" w:hAnsi="Times New Roman"/>
                <w:color w:val="000000"/>
                <w:szCs w:val="21"/>
              </w:rPr>
              <w:t>MR. LI SPECIALIZES IN PRIVACY AND DATA PROTECTION, CYBERSECURITY AND AI COMPLIANCE RELATED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527A7C" w14:textId="77777777" w:rsidR="004D124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719CD9" w14:textId="77777777" w:rsidR="004D124E" w:rsidRDefault="004D124E" w:rsidP="004D124E">
      <w:pPr>
        <w:pStyle w:val="af5"/>
        <w:spacing w:before="120"/>
        <w:rPr>
          <w:rFonts w:ascii="等线" w:eastAsia="等线" w:hAnsi="Times New Roman"/>
          <w:color w:val="000000"/>
        </w:rPr>
      </w:pPr>
      <w:r w:rsidRPr="004D124E">
        <w:rPr>
          <w:rFonts w:ascii="等线" w:eastAsia="等线" w:hAnsi="Times New Roman"/>
          <w:color w:val="000000"/>
        </w:rPr>
        <w:t>Mr. Li</w:t>
      </w:r>
      <w:r w:rsidRPr="004D124E">
        <w:rPr>
          <w:rFonts w:ascii="等线" w:eastAsia="等线" w:hAnsi="Times New Roman"/>
          <w:color w:val="000000"/>
        </w:rPr>
        <w:t>’</w:t>
      </w:r>
      <w:r w:rsidRPr="004D124E">
        <w:rPr>
          <w:rFonts w:ascii="等线" w:eastAsia="等线" w:hAnsi="Times New Roman"/>
          <w:color w:val="000000"/>
        </w:rPr>
        <w:t>s primary practice areas cover privacy and data protection, cybersecurity, and AI compliance. He has extensive experience advising enterprises on internal data compliance audits, data protection programs for cross-border business expansion, and data compliance due diligence in investment, financing, and listing transactions.</w:t>
      </w:r>
    </w:p>
    <w:p w14:paraId="04002C69" w14:textId="77777777" w:rsidR="004D124E" w:rsidRDefault="004D124E" w:rsidP="004D124E">
      <w:pPr>
        <w:pStyle w:val="af5"/>
        <w:spacing w:before="120"/>
        <w:rPr>
          <w:rFonts w:ascii="等线" w:eastAsia="等线" w:hAnsi="Times New Roman"/>
          <w:color w:val="000000"/>
        </w:rPr>
      </w:pPr>
      <w:r w:rsidRPr="004D124E">
        <w:rPr>
          <w:rFonts w:ascii="等线" w:eastAsia="等线" w:hAnsi="Times New Roman"/>
          <w:color w:val="000000"/>
        </w:rPr>
        <w:t>With deep expertise in China</w:t>
      </w:r>
      <w:r w:rsidRPr="004D124E">
        <w:rPr>
          <w:rFonts w:ascii="等线" w:eastAsia="等线" w:hAnsi="Times New Roman"/>
          <w:color w:val="000000"/>
        </w:rPr>
        <w:t>’</w:t>
      </w:r>
      <w:r w:rsidRPr="004D124E">
        <w:rPr>
          <w:rFonts w:ascii="等线" w:eastAsia="等线" w:hAnsi="Times New Roman"/>
          <w:color w:val="000000"/>
        </w:rPr>
        <w:t>s data protection regulatory framework, Mr. Li focuses on data compliance assessments and risk analysis for data-intensive industries. He regularly advises on the design of data compliance and governance frameworks, cross-border data transfer assessments and SCC filings, as well as responses to regulatory inquiries and law enforcement actions. His clients span a wide range of sectors, including fintech, mobile internet, life sciences, autonomous driving, and privacy computing.</w:t>
      </w:r>
    </w:p>
    <w:p w14:paraId="4A6A7495" w14:textId="77777777" w:rsidR="004D124E" w:rsidRDefault="004D124E" w:rsidP="004D124E">
      <w:pPr>
        <w:pStyle w:val="af5"/>
        <w:spacing w:before="120"/>
        <w:rPr>
          <w:rFonts w:ascii="等线" w:eastAsia="等线" w:hAnsi="Times New Roman"/>
          <w:color w:val="000000"/>
        </w:rPr>
      </w:pPr>
      <w:r w:rsidRPr="004D124E">
        <w:rPr>
          <w:rFonts w:ascii="等线" w:eastAsia="等线" w:hAnsi="Times New Roman"/>
          <w:color w:val="000000"/>
        </w:rPr>
        <w:t>Mr. Li has also supported numerous Chinese enterprises in their overseas expansion across Asia-Pacific, Europe, and the Americas, particularly in connection with the rollout and operation of AI-driven products and services. He frequently provides regulatory advisory and filing support for generative AI services, algorithmic recommendation systems, and deep synthesis technologies for leading technology companies.</w:t>
      </w:r>
    </w:p>
    <w:p w14:paraId="2089A069" w14:textId="77777777" w:rsidR="004D124E" w:rsidRDefault="004D124E" w:rsidP="004D124E">
      <w:pPr>
        <w:pStyle w:val="af5"/>
        <w:spacing w:before="120"/>
        <w:rPr>
          <w:rFonts w:ascii="等线" w:eastAsia="等线" w:hAnsi="Times New Roman"/>
          <w:color w:val="000000"/>
        </w:rPr>
      </w:pPr>
      <w:r w:rsidRPr="004D124E">
        <w:rPr>
          <w:rFonts w:ascii="等线" w:eastAsia="等线" w:hAnsi="Times New Roman"/>
          <w:color w:val="000000"/>
        </w:rPr>
        <w:t>In the context of investment, financing, and domestic or overseas listings, Mr. Li offers one-stop data compliance solutions. His work includes conducting data compliance due diligence, managing remediation of identified gaps, preparing targeted legal memoranda, advising on the applicability of cybersecurity review requirements, and assisting clients in responding to follow-up inquiries from stock exchanges and securities regulators. He also has significant hands-on experience guiding clients through cybersecurity review preparations for overseas listings.</w:t>
      </w:r>
    </w:p>
    <w:p w14:paraId="63D2F5F5" w14:textId="77777777" w:rsidR="004D124E" w:rsidRDefault="004D124E" w:rsidP="004D124E">
      <w:pPr>
        <w:pStyle w:val="af5"/>
        <w:spacing w:after="0" w:line="480" w:lineRule="auto"/>
        <w:rPr>
          <w:rFonts w:ascii="等线" w:eastAsia="等线" w:hAnsi="等线"/>
          <w:b/>
          <w:sz w:val="24"/>
        </w:rPr>
      </w:pPr>
      <w:r w:rsidRPr="004D124E">
        <w:rPr>
          <w:rFonts w:ascii="等线" w:eastAsia="等线" w:hAnsi="等线"/>
          <w:b/>
          <w:sz w:val="24"/>
        </w:rPr>
        <w:t>REPRESENTATIVE MATTERS AND CASES</w:t>
      </w:r>
    </w:p>
    <w:p w14:paraId="4730A22B" w14:textId="77777777" w:rsidR="004D124E" w:rsidRDefault="004D124E" w:rsidP="004D124E">
      <w:pPr>
        <w:pStyle w:val="af5"/>
        <w:spacing w:before="120"/>
        <w:rPr>
          <w:rFonts w:ascii="等线" w:eastAsia="等线" w:hAnsi="Times New Roman"/>
          <w:color w:val="000000"/>
        </w:rPr>
      </w:pPr>
    </w:p>
    <w:p w14:paraId="4725E7C8" w14:textId="77777777" w:rsidR="004D124E" w:rsidRDefault="004D124E" w:rsidP="004D124E">
      <w:pPr>
        <w:pStyle w:val="af5"/>
        <w:numPr>
          <w:ilvl w:val="0"/>
          <w:numId w:val="4"/>
        </w:numPr>
        <w:spacing w:before="120"/>
        <w:ind w:left="690" w:hanging="240"/>
        <w:rPr>
          <w:rFonts w:ascii="等线" w:eastAsia="等线" w:hAnsi="Times New Roman"/>
          <w:color w:val="000000"/>
        </w:rPr>
      </w:pPr>
      <w:r w:rsidRPr="004D124E">
        <w:rPr>
          <w:rFonts w:ascii="等线" w:eastAsia="等线" w:hAnsi="Times New Roman"/>
          <w:color w:val="000000"/>
        </w:rPr>
        <w:t>Assisted various well-known domestic companies and investment institutions in data compliance due diligence for investment and financing projects</w:t>
      </w:r>
    </w:p>
    <w:p w14:paraId="4A1898E7" w14:textId="77777777" w:rsidR="004D124E" w:rsidRDefault="004D124E" w:rsidP="004D124E">
      <w:pPr>
        <w:pStyle w:val="af5"/>
        <w:numPr>
          <w:ilvl w:val="0"/>
          <w:numId w:val="5"/>
        </w:numPr>
        <w:spacing w:before="120"/>
        <w:ind w:left="690" w:hanging="240"/>
        <w:rPr>
          <w:rFonts w:ascii="等线" w:eastAsia="等线" w:hAnsi="Times New Roman"/>
          <w:color w:val="000000"/>
        </w:rPr>
      </w:pPr>
      <w:r w:rsidRPr="004D124E">
        <w:rPr>
          <w:rFonts w:ascii="等线" w:eastAsia="等线" w:hAnsi="Times New Roman"/>
          <w:color w:val="000000"/>
        </w:rPr>
        <w:t>Advised multiple companies in banking and financing, pharmaceuticals and life sciences, and TMT on the commercial use of personal data as well as on the storage, transfer and authorized use of personal data</w:t>
      </w:r>
    </w:p>
    <w:p w14:paraId="687711B3" w14:textId="77777777" w:rsidR="004D124E" w:rsidRDefault="004D124E" w:rsidP="004D124E">
      <w:pPr>
        <w:pStyle w:val="af5"/>
        <w:numPr>
          <w:ilvl w:val="0"/>
          <w:numId w:val="6"/>
        </w:numPr>
        <w:spacing w:before="120"/>
        <w:ind w:left="690" w:hanging="240"/>
        <w:rPr>
          <w:rFonts w:ascii="等线" w:eastAsia="等线" w:hAnsi="Times New Roman"/>
          <w:color w:val="000000"/>
        </w:rPr>
      </w:pPr>
      <w:r w:rsidRPr="004D124E">
        <w:rPr>
          <w:rFonts w:ascii="等线" w:eastAsia="等线" w:hAnsi="Times New Roman"/>
          <w:color w:val="000000"/>
        </w:rPr>
        <w:t>Assisted multiple companies in sectors such as autonomous driving, energy, fintech, headhunting and housing brokerage on internal data compliance projects and on establishing data compliance systems</w:t>
      </w:r>
    </w:p>
    <w:p w14:paraId="717928D0" w14:textId="77777777" w:rsidR="004D124E" w:rsidRDefault="004D124E" w:rsidP="004D124E">
      <w:pPr>
        <w:pStyle w:val="af5"/>
        <w:numPr>
          <w:ilvl w:val="0"/>
          <w:numId w:val="7"/>
        </w:numPr>
        <w:spacing w:before="120"/>
        <w:ind w:left="690" w:hanging="240"/>
        <w:rPr>
          <w:rFonts w:ascii="等线" w:eastAsia="等线" w:hAnsi="Times New Roman"/>
          <w:color w:val="000000"/>
        </w:rPr>
      </w:pPr>
      <w:r w:rsidRPr="004D124E">
        <w:rPr>
          <w:rFonts w:ascii="等线" w:eastAsia="等线" w:hAnsi="Times New Roman"/>
          <w:color w:val="000000"/>
        </w:rPr>
        <w:t>Assisted a renowned Chinese internet company in conducting compliance testing and assessing more than 20 apps under two business units, rectifying the app functions, drafting privacy policies and responding to enforcement actions</w:t>
      </w:r>
    </w:p>
    <w:p w14:paraId="2E88B560" w14:textId="77777777" w:rsidR="004D124E" w:rsidRDefault="004D124E" w:rsidP="004D124E">
      <w:pPr>
        <w:pStyle w:val="af5"/>
        <w:numPr>
          <w:ilvl w:val="0"/>
          <w:numId w:val="8"/>
        </w:numPr>
        <w:spacing w:before="120"/>
        <w:ind w:left="690" w:hanging="240"/>
        <w:rPr>
          <w:rFonts w:ascii="等线" w:eastAsia="等线" w:hAnsi="Times New Roman"/>
          <w:color w:val="000000"/>
        </w:rPr>
      </w:pPr>
      <w:r w:rsidRPr="004D124E">
        <w:rPr>
          <w:rFonts w:ascii="等线" w:eastAsia="等线" w:hAnsi="Times New Roman"/>
          <w:color w:val="000000"/>
        </w:rPr>
        <w:t>Advised several well-known autonomous driving companies and OEMs on data protection and regulatory compliance matters</w:t>
      </w:r>
    </w:p>
    <w:p w14:paraId="6B0617D8" w14:textId="77777777" w:rsidR="004D124E" w:rsidRDefault="004D124E" w:rsidP="004D124E">
      <w:pPr>
        <w:pStyle w:val="af5"/>
        <w:numPr>
          <w:ilvl w:val="0"/>
          <w:numId w:val="9"/>
        </w:numPr>
        <w:spacing w:before="120"/>
        <w:ind w:left="690" w:hanging="240"/>
        <w:rPr>
          <w:rFonts w:ascii="等线" w:eastAsia="等线" w:hAnsi="Times New Roman"/>
          <w:color w:val="000000"/>
        </w:rPr>
      </w:pPr>
      <w:r w:rsidRPr="004D124E">
        <w:rPr>
          <w:rFonts w:ascii="等线" w:eastAsia="等线" w:hAnsi="Times New Roman"/>
          <w:color w:val="000000"/>
        </w:rPr>
        <w:t>Assisted a well-known short-term rental platform on government enforcement and data sharing matters and on establishing its personal data protection system in China</w:t>
      </w:r>
    </w:p>
    <w:p w14:paraId="729BA986" w14:textId="77777777" w:rsidR="004D124E" w:rsidRDefault="004D124E" w:rsidP="004D124E">
      <w:pPr>
        <w:pStyle w:val="af5"/>
        <w:numPr>
          <w:ilvl w:val="0"/>
          <w:numId w:val="10"/>
        </w:numPr>
        <w:spacing w:before="120"/>
        <w:ind w:left="690" w:hanging="240"/>
        <w:rPr>
          <w:rFonts w:ascii="等线" w:eastAsia="等线" w:hAnsi="Times New Roman"/>
          <w:color w:val="000000"/>
        </w:rPr>
      </w:pPr>
      <w:r w:rsidRPr="004D124E">
        <w:rPr>
          <w:rFonts w:ascii="等线" w:eastAsia="等线" w:hAnsi="Times New Roman"/>
          <w:color w:val="000000"/>
        </w:rPr>
        <w:t xml:space="preserve">Assisted an online employment platform in dealing with a government enforcement action after the event of </w:t>
      </w:r>
      <w:r w:rsidRPr="004D124E">
        <w:rPr>
          <w:rFonts w:ascii="等线" w:eastAsia="等线" w:hAnsi="Times New Roman"/>
          <w:color w:val="000000"/>
        </w:rPr>
        <w:t>“</w:t>
      </w:r>
      <w:r w:rsidRPr="004D124E">
        <w:rPr>
          <w:rFonts w:ascii="等线" w:eastAsia="等线" w:hAnsi="Times New Roman"/>
          <w:color w:val="000000"/>
        </w:rPr>
        <w:t>3</w:t>
      </w:r>
      <w:r w:rsidRPr="004D124E">
        <w:rPr>
          <w:rFonts w:ascii="等线" w:eastAsia="等线" w:hAnsi="Times New Roman"/>
          <w:color w:val="000000"/>
        </w:rPr>
        <w:t>·</w:t>
      </w:r>
      <w:r w:rsidRPr="004D124E">
        <w:rPr>
          <w:rFonts w:ascii="等线" w:eastAsia="等线" w:hAnsi="Times New Roman"/>
          <w:color w:val="000000"/>
        </w:rPr>
        <w:t>15</w:t>
      </w:r>
      <w:r w:rsidRPr="004D124E">
        <w:rPr>
          <w:rFonts w:ascii="等线" w:eastAsia="等线" w:hAnsi="Times New Roman"/>
          <w:color w:val="000000"/>
        </w:rPr>
        <w:t>”</w:t>
      </w:r>
      <w:r w:rsidRPr="004D124E">
        <w:rPr>
          <w:rFonts w:ascii="等线" w:eastAsia="等线" w:hAnsi="Times New Roman"/>
          <w:color w:val="000000"/>
        </w:rPr>
        <w:t xml:space="preserve"> exposed its illegal sale of personal data</w:t>
      </w:r>
    </w:p>
    <w:p w14:paraId="35801E0C" w14:textId="77777777" w:rsidR="004D124E" w:rsidRDefault="004D124E" w:rsidP="004D124E">
      <w:pPr>
        <w:pStyle w:val="af5"/>
        <w:numPr>
          <w:ilvl w:val="0"/>
          <w:numId w:val="11"/>
        </w:numPr>
        <w:spacing w:before="120"/>
        <w:ind w:left="690" w:hanging="240"/>
        <w:rPr>
          <w:rFonts w:ascii="等线" w:eastAsia="等线" w:hAnsi="Times New Roman"/>
          <w:color w:val="000000"/>
        </w:rPr>
      </w:pPr>
      <w:r w:rsidRPr="004D124E">
        <w:rPr>
          <w:rFonts w:ascii="等线" w:eastAsia="等线" w:hAnsi="Times New Roman"/>
          <w:color w:val="000000"/>
        </w:rPr>
        <w:t>Assisted a leading data solutions provider with its response to data compliance inquiries during its IPO process</w:t>
      </w:r>
    </w:p>
    <w:p w14:paraId="3C907014" w14:textId="77777777" w:rsidR="004D124E" w:rsidRDefault="004D124E" w:rsidP="004D124E">
      <w:pPr>
        <w:pStyle w:val="af5"/>
        <w:numPr>
          <w:ilvl w:val="0"/>
          <w:numId w:val="12"/>
        </w:numPr>
        <w:spacing w:before="120"/>
        <w:ind w:left="690" w:hanging="240"/>
        <w:rPr>
          <w:rFonts w:ascii="等线" w:eastAsia="等线" w:hAnsi="Times New Roman"/>
          <w:color w:val="000000"/>
        </w:rPr>
      </w:pPr>
      <w:r w:rsidRPr="004D124E">
        <w:rPr>
          <w:rFonts w:ascii="等线" w:eastAsia="等线" w:hAnsi="Times New Roman"/>
          <w:color w:val="000000"/>
        </w:rPr>
        <w:t>Assisted a leading e-commerce service provider with its response to data compliance inquiries during its IPO process</w:t>
      </w:r>
    </w:p>
    <w:p w14:paraId="222E42C2" w14:textId="77777777" w:rsidR="004D124E" w:rsidRDefault="004D124E" w:rsidP="004D124E">
      <w:pPr>
        <w:pStyle w:val="af5"/>
        <w:numPr>
          <w:ilvl w:val="0"/>
          <w:numId w:val="13"/>
        </w:numPr>
        <w:spacing w:before="120"/>
        <w:ind w:left="690" w:hanging="240"/>
        <w:rPr>
          <w:rFonts w:ascii="等线" w:eastAsia="等线" w:hAnsi="Times New Roman"/>
          <w:color w:val="000000"/>
        </w:rPr>
      </w:pPr>
      <w:r w:rsidRPr="004D124E">
        <w:rPr>
          <w:rFonts w:ascii="等线" w:eastAsia="等线" w:hAnsi="Times New Roman"/>
          <w:color w:val="000000"/>
        </w:rPr>
        <w:t>Advised a well-known domestic company on a CAC cybersecurity review</w:t>
      </w:r>
    </w:p>
    <w:p w14:paraId="6AC0650E" w14:textId="77777777" w:rsidR="004D124E" w:rsidRDefault="004D124E" w:rsidP="004D124E">
      <w:pPr>
        <w:pStyle w:val="af5"/>
        <w:spacing w:after="0" w:line="480" w:lineRule="auto"/>
        <w:rPr>
          <w:rFonts w:ascii="等线" w:eastAsia="等线" w:hAnsi="等线"/>
          <w:b/>
          <w:sz w:val="24"/>
        </w:rPr>
      </w:pPr>
      <w:r w:rsidRPr="004D124E">
        <w:rPr>
          <w:rFonts w:ascii="等线" w:eastAsia="等线" w:hAnsi="等线"/>
          <w:b/>
          <w:sz w:val="24"/>
        </w:rPr>
        <w:t>Education</w:t>
      </w:r>
    </w:p>
    <w:p w14:paraId="7EBB3DA7" w14:textId="77777777" w:rsidR="004D124E" w:rsidRDefault="004D124E" w:rsidP="004D124E">
      <w:pPr>
        <w:pStyle w:val="af5"/>
        <w:numPr>
          <w:ilvl w:val="0"/>
          <w:numId w:val="14"/>
        </w:numPr>
        <w:spacing w:before="120"/>
        <w:ind w:left="690" w:hanging="240"/>
        <w:rPr>
          <w:rFonts w:ascii="等线" w:eastAsia="等线" w:hAnsi="Times New Roman"/>
          <w:color w:val="000000"/>
        </w:rPr>
      </w:pPr>
      <w:r w:rsidRPr="004D124E">
        <w:rPr>
          <w:rFonts w:ascii="等线" w:eastAsia="等线" w:hAnsi="Times New Roman"/>
          <w:color w:val="000000"/>
        </w:rPr>
        <w:t>China University of Political Science and Law, LL.M.</w:t>
      </w:r>
    </w:p>
    <w:p w14:paraId="181E5502" w14:textId="77777777" w:rsidR="004D124E" w:rsidRDefault="004D124E" w:rsidP="004D124E">
      <w:pPr>
        <w:pStyle w:val="af5"/>
        <w:numPr>
          <w:ilvl w:val="0"/>
          <w:numId w:val="15"/>
        </w:numPr>
        <w:spacing w:before="120"/>
        <w:ind w:left="690" w:hanging="240"/>
        <w:rPr>
          <w:rFonts w:ascii="等线" w:eastAsia="等线" w:hAnsi="Times New Roman"/>
          <w:color w:val="000000"/>
        </w:rPr>
      </w:pPr>
      <w:r w:rsidRPr="004D124E">
        <w:rPr>
          <w:rFonts w:ascii="等线" w:eastAsia="等线" w:hAnsi="Times New Roman"/>
          <w:color w:val="000000"/>
        </w:rPr>
        <w:t>China University of Political Science and Law, LL.B.</w:t>
      </w:r>
    </w:p>
    <w:p w14:paraId="1E6B1C42" w14:textId="77777777" w:rsidR="004D124E" w:rsidRDefault="004D124E" w:rsidP="004D124E">
      <w:pPr>
        <w:pStyle w:val="af5"/>
        <w:spacing w:after="0" w:line="480" w:lineRule="auto"/>
        <w:rPr>
          <w:rFonts w:ascii="等线" w:eastAsia="等线" w:hAnsi="等线"/>
          <w:b/>
          <w:sz w:val="24"/>
        </w:rPr>
      </w:pPr>
      <w:r w:rsidRPr="004D124E">
        <w:rPr>
          <w:rFonts w:ascii="等线" w:eastAsia="等线" w:hAnsi="等线"/>
          <w:b/>
          <w:sz w:val="24"/>
        </w:rPr>
        <w:t>Professional Qualification</w:t>
      </w:r>
    </w:p>
    <w:p w14:paraId="318087F8" w14:textId="77777777" w:rsidR="004D124E" w:rsidRDefault="004D124E" w:rsidP="004D124E">
      <w:pPr>
        <w:pStyle w:val="af5"/>
        <w:numPr>
          <w:ilvl w:val="0"/>
          <w:numId w:val="16"/>
        </w:numPr>
        <w:spacing w:before="120"/>
        <w:ind w:left="690" w:hanging="240"/>
        <w:rPr>
          <w:rFonts w:ascii="等线" w:eastAsia="等线" w:hAnsi="Times New Roman"/>
          <w:color w:val="000000"/>
        </w:rPr>
      </w:pPr>
      <w:r w:rsidRPr="004D124E">
        <w:rPr>
          <w:rFonts w:ascii="等线" w:eastAsia="等线" w:hAnsi="Times New Roman"/>
          <w:color w:val="000000"/>
        </w:rPr>
        <w:t>Admitted to practice in the PRC</w:t>
      </w:r>
    </w:p>
    <w:p w14:paraId="0EABB3BB" w14:textId="77777777" w:rsidR="004D124E" w:rsidRDefault="004D124E" w:rsidP="004D124E">
      <w:pPr>
        <w:pStyle w:val="af5"/>
        <w:spacing w:after="0" w:line="480" w:lineRule="auto"/>
        <w:rPr>
          <w:rFonts w:ascii="等线" w:eastAsia="等线" w:hAnsi="等线"/>
          <w:b/>
          <w:sz w:val="24"/>
        </w:rPr>
      </w:pPr>
      <w:r w:rsidRPr="004D124E">
        <w:rPr>
          <w:rFonts w:ascii="等线" w:eastAsia="等线" w:hAnsi="等线"/>
          <w:b/>
          <w:sz w:val="24"/>
        </w:rPr>
        <w:t>Work Language</w:t>
      </w:r>
    </w:p>
    <w:p w14:paraId="71DC9FB7" w14:textId="77777777" w:rsidR="004D124E" w:rsidRDefault="004D124E" w:rsidP="004D124E">
      <w:pPr>
        <w:pStyle w:val="af5"/>
        <w:numPr>
          <w:ilvl w:val="0"/>
          <w:numId w:val="17"/>
        </w:numPr>
        <w:spacing w:before="120"/>
        <w:ind w:left="690" w:hanging="240"/>
        <w:rPr>
          <w:rFonts w:ascii="等线" w:eastAsia="等线" w:hAnsi="Times New Roman"/>
          <w:color w:val="000000"/>
        </w:rPr>
      </w:pPr>
      <w:r w:rsidRPr="004D124E">
        <w:rPr>
          <w:rFonts w:ascii="等线" w:eastAsia="等线" w:hAnsi="Times New Roman"/>
          <w:color w:val="000000"/>
        </w:rPr>
        <w:t>English</w:t>
      </w:r>
    </w:p>
    <w:p w14:paraId="0FBF2D21" w14:textId="77777777" w:rsidR="004D124E" w:rsidRDefault="004D124E" w:rsidP="004D124E">
      <w:pPr>
        <w:pStyle w:val="af5"/>
        <w:numPr>
          <w:ilvl w:val="0"/>
          <w:numId w:val="18"/>
        </w:numPr>
        <w:spacing w:before="120"/>
        <w:ind w:left="690" w:hanging="240"/>
        <w:rPr>
          <w:rFonts w:ascii="等线" w:eastAsia="等线" w:hAnsi="Times New Roman"/>
          <w:color w:val="000000"/>
        </w:rPr>
      </w:pPr>
      <w:r w:rsidRPr="004D124E">
        <w:rPr>
          <w:rFonts w:ascii="等线" w:eastAsia="等线" w:hAnsi="Times New Roman"/>
          <w:color w:val="000000"/>
        </w:rPr>
        <w:t>Chinese (Mandarin and Cantonese)</w:t>
      </w:r>
    </w:p>
    <w:p w14:paraId="2CE2895A" w14:textId="77777777" w:rsidR="004D124E" w:rsidRDefault="004D124E" w:rsidP="004D124E">
      <w:pPr>
        <w:pStyle w:val="af5"/>
        <w:spacing w:after="0" w:line="480" w:lineRule="auto"/>
        <w:rPr>
          <w:rFonts w:ascii="等线" w:eastAsia="等线" w:hAnsi="等线"/>
          <w:b/>
          <w:sz w:val="24"/>
        </w:rPr>
      </w:pPr>
      <w:r w:rsidRPr="004D124E">
        <w:rPr>
          <w:rFonts w:ascii="等线" w:eastAsia="等线" w:hAnsi="等线"/>
          <w:b/>
          <w:sz w:val="24"/>
        </w:rPr>
        <w:t>Professional Background</w:t>
      </w:r>
    </w:p>
    <w:p w14:paraId="5567FC3C" w14:textId="09BC037C" w:rsidR="00686369" w:rsidRPr="004D124E" w:rsidRDefault="004D124E" w:rsidP="004D124E">
      <w:pPr>
        <w:pStyle w:val="af5"/>
        <w:numPr>
          <w:ilvl w:val="0"/>
          <w:numId w:val="19"/>
        </w:numPr>
        <w:spacing w:before="120"/>
        <w:ind w:left="690" w:hanging="240"/>
        <w:rPr>
          <w:rFonts w:ascii="等线" w:eastAsia="等线" w:hAnsi="Times New Roman"/>
          <w:color w:val="000000"/>
        </w:rPr>
      </w:pPr>
      <w:r w:rsidRPr="004D124E">
        <w:rPr>
          <w:rFonts w:ascii="等线" w:eastAsia="等线" w:hAnsi="Times New Roman"/>
          <w:color w:val="000000"/>
        </w:rPr>
        <w:t>Mr. Li joined Fangda in 2020. Before joining the firm, he worked at King &amp; Wood Mallesons on antitrust and competition, cybersecurity and data protection matters.</w:t>
      </w:r>
    </w:p>
    <w:sectPr w:rsidR="00686369" w:rsidRPr="004D12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E10F4"/>
    <w:multiLevelType w:val="singleLevel"/>
    <w:tmpl w:val="19BC99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B64FC3"/>
    <w:multiLevelType w:val="singleLevel"/>
    <w:tmpl w:val="FCFCE6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043926"/>
    <w:multiLevelType w:val="singleLevel"/>
    <w:tmpl w:val="CBC49D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CA058A"/>
    <w:multiLevelType w:val="singleLevel"/>
    <w:tmpl w:val="0C36F7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3247E5"/>
    <w:multiLevelType w:val="singleLevel"/>
    <w:tmpl w:val="C4626D0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26274F"/>
    <w:multiLevelType w:val="singleLevel"/>
    <w:tmpl w:val="B23EA2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36176C"/>
    <w:multiLevelType w:val="singleLevel"/>
    <w:tmpl w:val="D5DC13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6458C7"/>
    <w:multiLevelType w:val="singleLevel"/>
    <w:tmpl w:val="2340BE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B85656D"/>
    <w:multiLevelType w:val="singleLevel"/>
    <w:tmpl w:val="B420CA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47C68B6"/>
    <w:multiLevelType w:val="singleLevel"/>
    <w:tmpl w:val="5308AF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B53134"/>
    <w:multiLevelType w:val="singleLevel"/>
    <w:tmpl w:val="10A28D7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DD41B92"/>
    <w:multiLevelType w:val="singleLevel"/>
    <w:tmpl w:val="847AB1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F317CF7"/>
    <w:multiLevelType w:val="singleLevel"/>
    <w:tmpl w:val="F404D0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0566A4D"/>
    <w:multiLevelType w:val="singleLevel"/>
    <w:tmpl w:val="C116E7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570353"/>
    <w:multiLevelType w:val="singleLevel"/>
    <w:tmpl w:val="B52290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967FEB"/>
    <w:multiLevelType w:val="singleLevel"/>
    <w:tmpl w:val="19BC998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91036CA"/>
    <w:multiLevelType w:val="singleLevel"/>
    <w:tmpl w:val="C9A8AD4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18"/>
  </w:num>
  <w:num w:numId="4">
    <w:abstractNumId w:val="3"/>
  </w:num>
  <w:num w:numId="5">
    <w:abstractNumId w:val="13"/>
  </w:num>
  <w:num w:numId="6">
    <w:abstractNumId w:val="14"/>
  </w:num>
  <w:num w:numId="7">
    <w:abstractNumId w:val="7"/>
  </w:num>
  <w:num w:numId="8">
    <w:abstractNumId w:val="1"/>
  </w:num>
  <w:num w:numId="9">
    <w:abstractNumId w:val="2"/>
  </w:num>
  <w:num w:numId="10">
    <w:abstractNumId w:val="16"/>
  </w:num>
  <w:num w:numId="11">
    <w:abstractNumId w:val="8"/>
  </w:num>
  <w:num w:numId="12">
    <w:abstractNumId w:val="12"/>
  </w:num>
  <w:num w:numId="13">
    <w:abstractNumId w:val="15"/>
  </w:num>
  <w:num w:numId="14">
    <w:abstractNumId w:val="10"/>
  </w:num>
  <w:num w:numId="15">
    <w:abstractNumId w:val="11"/>
  </w:num>
  <w:num w:numId="16">
    <w:abstractNumId w:val="5"/>
  </w:num>
  <w:num w:numId="17">
    <w:abstractNumId w:val="4"/>
  </w:num>
  <w:num w:numId="18">
    <w:abstractNumId w:val="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124E"/>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D124E"/>
    <w:pPr>
      <w:spacing w:after="120"/>
    </w:pPr>
  </w:style>
  <w:style w:type="character" w:customStyle="1" w:styleId="af6">
    <w:name w:val="正文文本 字符"/>
    <w:basedOn w:val="a0"/>
    <w:link w:val="af5"/>
    <w:uiPriority w:val="99"/>
    <w:rsid w:val="004D12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0DDD5-B583-4300-8A95-62A52A078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593</Words>
  <Characters>3386</Characters>
  <Application>Microsoft Office Word</Application>
  <DocSecurity>0</DocSecurity>
  <Lines>28</Lines>
  <Paragraphs>7</Paragraphs>
  <ScaleCrop>false</ScaleCrop>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2026-06-03T00:09:00Z</dcterms:created>
  <dcterms:modified xsi:type="dcterms:W3CDTF">2026-06-03T00:09:00Z</dcterms:modified>
</cp:coreProperties>
</file>