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28F0800" w:rsidR="0049405C" w:rsidRPr="00C24D79" w:rsidRDefault="00771C0E" w:rsidP="00771C0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71C0E">
              <w:rPr>
                <w:rFonts w:ascii="等线" w:eastAsia="等线" w:hAnsi="Times New Roman"/>
                <w:b/>
                <w:color w:val="000000"/>
                <w:sz w:val="48"/>
              </w:rPr>
              <w:t>QUAN HOU</w:t>
            </w:r>
            <w:bookmarkEnd w:id="0"/>
          </w:p>
          <w:p w14:paraId="706EB16B" w14:textId="7432D4B8" w:rsidR="0049405C" w:rsidRPr="00C24D79" w:rsidRDefault="00771C0E" w:rsidP="00771C0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71C0E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771C0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71C0E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5D178643" w:rsidR="0049405C" w:rsidRPr="00C24D79" w:rsidRDefault="00771C0E" w:rsidP="00771C0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71C0E">
              <w:rPr>
                <w:rFonts w:ascii="等线" w:eastAsia="等线" w:hAnsi="Times New Roman"/>
                <w:color w:val="000000"/>
              </w:rPr>
              <w:t xml:space="preserve">+86 10 5769 5747 </w:t>
            </w:r>
            <w:bookmarkEnd w:id="3"/>
          </w:p>
          <w:p w14:paraId="4F910ACA" w14:textId="6A869613" w:rsidR="0049405C" w:rsidRPr="00C24D79" w:rsidRDefault="00771C0E" w:rsidP="00771C0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71C0E">
              <w:rPr>
                <w:rFonts w:ascii="等线" w:eastAsia="等线" w:hAnsi="Times New Roman"/>
                <w:color w:val="000000"/>
              </w:rPr>
              <w:t>quan.hou@fangdalaw.com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C6C510B" w:rsidR="0049405C" w:rsidRPr="00C24D79" w:rsidRDefault="00771C0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26DE771" wp14:editId="4DA2027F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83839A8" w:rsidR="009465FB" w:rsidRPr="00C24D79" w:rsidRDefault="00771C0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71C0E">
              <w:rPr>
                <w:rFonts w:ascii="等线" w:eastAsia="等线" w:hAnsi="Times New Roman"/>
                <w:color w:val="000000"/>
                <w:szCs w:val="21"/>
              </w:rPr>
              <w:t>MR. HOU SPECIALIZES IN IN CAPITAL MARKETS, M&amp;A, PRIVATE EQUITY INVESTMENT, HE HAS EXTENSIVE EXPERIENCE IN THE LISTING OF PILOT INNOVATIVE RED-CHIP ENTERPRISES IN THE MAINLAND.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04A86F0" w14:textId="77777777" w:rsidR="00771C0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A66EB08" w14:textId="77777777" w:rsidR="00771C0E" w:rsidRDefault="00771C0E" w:rsidP="00771C0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71C0E">
        <w:rPr>
          <w:rFonts w:ascii="等线" w:eastAsia="等线" w:hAnsi="等线"/>
          <w:b/>
          <w:sz w:val="24"/>
        </w:rPr>
        <w:t>REPRESENTATIVE MATTERS AND CASES</w:t>
      </w:r>
    </w:p>
    <w:p w14:paraId="3FB5776E" w14:textId="77777777" w:rsidR="00771C0E" w:rsidRDefault="00771C0E" w:rsidP="00771C0E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5EB0064A" w14:textId="77777777" w:rsidR="00771C0E" w:rsidRDefault="00771C0E" w:rsidP="00771C0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1C0E">
        <w:rPr>
          <w:rFonts w:ascii="等线" w:eastAsia="等线" w:hAnsi="Times New Roman"/>
          <w:color w:val="000000"/>
        </w:rPr>
        <w:t>Advised Megvii Technology Limited on its IPO and CDR listing on the STAR Market of the SSE</w:t>
      </w:r>
    </w:p>
    <w:p w14:paraId="56F05047" w14:textId="77777777" w:rsidR="00771C0E" w:rsidRDefault="00771C0E" w:rsidP="00771C0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1C0E">
        <w:rPr>
          <w:rFonts w:ascii="等线" w:eastAsia="等线" w:hAnsi="Times New Roman"/>
          <w:color w:val="000000"/>
        </w:rPr>
        <w:t>Advised InnoCare Pharma Limited on its IPO and A-share listing on the STAR Market of the SSE</w:t>
      </w:r>
    </w:p>
    <w:p w14:paraId="63FE76AD" w14:textId="77777777" w:rsidR="00771C0E" w:rsidRDefault="00771C0E" w:rsidP="00771C0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1C0E">
        <w:rPr>
          <w:rFonts w:ascii="等线" w:eastAsia="等线" w:hAnsi="Times New Roman"/>
          <w:color w:val="000000"/>
        </w:rPr>
        <w:t>Advised China Resources Microelectronics Limited on its IPO and A-share listing on the STAR Market of the SSE</w:t>
      </w:r>
    </w:p>
    <w:p w14:paraId="092AD1A5" w14:textId="77777777" w:rsidR="00771C0E" w:rsidRDefault="00771C0E" w:rsidP="00771C0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1C0E">
        <w:rPr>
          <w:rFonts w:ascii="等线" w:eastAsia="等线" w:hAnsi="Times New Roman"/>
          <w:color w:val="000000"/>
        </w:rPr>
        <w:t>Advised Beijing Data Intelink Technology Co., Ltd. on its IPO and A-share listing on the STAR Market of the SZSE</w:t>
      </w:r>
    </w:p>
    <w:p w14:paraId="048CF6EC" w14:textId="77777777" w:rsidR="00771C0E" w:rsidRDefault="00771C0E" w:rsidP="00771C0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1C0E">
        <w:rPr>
          <w:rFonts w:ascii="等线" w:eastAsia="等线" w:hAnsi="Times New Roman"/>
          <w:color w:val="000000"/>
        </w:rPr>
        <w:t>Advised Wise Road Capital and JAC Capital Consortium in the restructuring of Tsinghua Unigroup</w:t>
      </w:r>
    </w:p>
    <w:p w14:paraId="6086A328" w14:textId="77777777" w:rsidR="00771C0E" w:rsidRDefault="00771C0E" w:rsidP="00771C0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1C0E">
        <w:rPr>
          <w:rFonts w:ascii="等线" w:eastAsia="等线" w:hAnsi="Times New Roman"/>
          <w:color w:val="000000"/>
        </w:rPr>
        <w:t>Advised COFCO to establish COFCO Fortune Holdings Limited through cross-border restructuring</w:t>
      </w:r>
    </w:p>
    <w:p w14:paraId="2B5438D5" w14:textId="77777777" w:rsidR="00771C0E" w:rsidRDefault="00771C0E" w:rsidP="00771C0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1C0E">
        <w:rPr>
          <w:rFonts w:ascii="等线" w:eastAsia="等线" w:hAnsi="Times New Roman"/>
          <w:color w:val="000000"/>
        </w:rPr>
        <w:t>Advised SDIC Intelligence Co., Ltd in the acquisition of controlling interest in Meiya Pico</w:t>
      </w:r>
    </w:p>
    <w:p w14:paraId="635E9E3C" w14:textId="77777777" w:rsidR="00771C0E" w:rsidRDefault="00771C0E" w:rsidP="00771C0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1C0E">
        <w:rPr>
          <w:rFonts w:ascii="等线" w:eastAsia="等线" w:hAnsi="Times New Roman"/>
          <w:color w:val="000000"/>
        </w:rPr>
        <w:t>Advised China Resources in the acquisition of shares in China Aerospace Science and Technology Corporation</w:t>
      </w:r>
    </w:p>
    <w:p w14:paraId="27CBDAF6" w14:textId="77777777" w:rsidR="00771C0E" w:rsidRDefault="00771C0E" w:rsidP="00771C0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1C0E">
        <w:rPr>
          <w:rFonts w:ascii="等线" w:eastAsia="等线" w:hAnsi="Times New Roman"/>
          <w:color w:val="000000"/>
        </w:rPr>
        <w:t>Advised PIESAT, ZEHO ECO and EASOU Technology on their IPO and A-share listings</w:t>
      </w:r>
    </w:p>
    <w:p w14:paraId="6173AD9C" w14:textId="77777777" w:rsidR="00771C0E" w:rsidRDefault="00771C0E" w:rsidP="00771C0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1C0E">
        <w:rPr>
          <w:rFonts w:ascii="等线" w:eastAsia="等线" w:hAnsi="Times New Roman"/>
          <w:color w:val="000000"/>
        </w:rPr>
        <w:t>Advised Baobian Electric on its non-public issuance of stock</w:t>
      </w:r>
    </w:p>
    <w:p w14:paraId="38D5FB54" w14:textId="77777777" w:rsidR="00771C0E" w:rsidRDefault="00771C0E" w:rsidP="00771C0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1C0E">
        <w:rPr>
          <w:rFonts w:ascii="等线" w:eastAsia="等线" w:hAnsi="Times New Roman"/>
          <w:color w:val="000000"/>
        </w:rPr>
        <w:t>Provided services to investment institutions such as China Internet Investment Fund, Legend Star, Xiaomi Changjiang Industrial Investment Fund, Jinyi Capital, and Kunlun Trust in their equity investment projects</w:t>
      </w:r>
    </w:p>
    <w:p w14:paraId="2AE8D76D" w14:textId="77777777" w:rsidR="00771C0E" w:rsidRDefault="00771C0E" w:rsidP="00771C0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1C0E">
        <w:rPr>
          <w:rFonts w:ascii="等线" w:eastAsia="等线" w:hAnsi="Times New Roman"/>
          <w:color w:val="000000"/>
        </w:rPr>
        <w:t>Provided day-to-day legal services to companies such as PICC, Cinda Group, China Mobile, Jinyi Capital, and Cardinal Operations</w:t>
      </w:r>
    </w:p>
    <w:p w14:paraId="326E3F2D" w14:textId="77777777" w:rsidR="00771C0E" w:rsidRDefault="00771C0E" w:rsidP="00771C0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71C0E">
        <w:rPr>
          <w:rFonts w:ascii="等线" w:eastAsia="等线" w:hAnsi="等线"/>
          <w:b/>
          <w:sz w:val="24"/>
        </w:rPr>
        <w:t>Education</w:t>
      </w:r>
    </w:p>
    <w:p w14:paraId="0B130A68" w14:textId="77777777" w:rsidR="00771C0E" w:rsidRDefault="00771C0E" w:rsidP="00771C0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1C0E">
        <w:rPr>
          <w:rFonts w:ascii="等线" w:eastAsia="等线" w:hAnsi="Times New Roman"/>
          <w:color w:val="000000"/>
        </w:rPr>
        <w:t>Minzu University of China, LL.M., 2015</w:t>
      </w:r>
    </w:p>
    <w:p w14:paraId="4ABB607E" w14:textId="77777777" w:rsidR="00771C0E" w:rsidRDefault="00771C0E" w:rsidP="00771C0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1C0E">
        <w:rPr>
          <w:rFonts w:ascii="等线" w:eastAsia="等线" w:hAnsi="Times New Roman"/>
          <w:color w:val="000000"/>
        </w:rPr>
        <w:t>China University of Geosciences (Wuhan), LL.B., 2012</w:t>
      </w:r>
    </w:p>
    <w:p w14:paraId="22C13916" w14:textId="77777777" w:rsidR="00771C0E" w:rsidRDefault="00771C0E" w:rsidP="00771C0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71C0E">
        <w:rPr>
          <w:rFonts w:ascii="等线" w:eastAsia="等线" w:hAnsi="等线"/>
          <w:b/>
          <w:sz w:val="24"/>
        </w:rPr>
        <w:t>Professional Qualification</w:t>
      </w:r>
    </w:p>
    <w:p w14:paraId="5BCC4F8A" w14:textId="77777777" w:rsidR="00771C0E" w:rsidRDefault="00771C0E" w:rsidP="00771C0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1C0E">
        <w:rPr>
          <w:rFonts w:ascii="等线" w:eastAsia="等线" w:hAnsi="Times New Roman"/>
          <w:color w:val="000000"/>
        </w:rPr>
        <w:t>Admitted to practice in the PRC</w:t>
      </w:r>
    </w:p>
    <w:p w14:paraId="00DD0955" w14:textId="77777777" w:rsidR="00771C0E" w:rsidRDefault="00771C0E" w:rsidP="00771C0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71C0E">
        <w:rPr>
          <w:rFonts w:ascii="等线" w:eastAsia="等线" w:hAnsi="等线"/>
          <w:b/>
          <w:sz w:val="24"/>
        </w:rPr>
        <w:t>Professional Background</w:t>
      </w:r>
    </w:p>
    <w:p w14:paraId="5567FC3C" w14:textId="3ABBA34C" w:rsidR="00686369" w:rsidRPr="00771C0E" w:rsidRDefault="00771C0E" w:rsidP="00771C0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71C0E">
        <w:rPr>
          <w:rFonts w:ascii="等线" w:eastAsia="等线" w:hAnsi="Times New Roman"/>
          <w:color w:val="000000"/>
        </w:rPr>
        <w:t>Mr. Hou joined Fangda in 2019. Before joining the firm, he worked at Global Law Office in Beijing.</w:t>
      </w:r>
    </w:p>
    <w:sectPr w:rsidR="00686369" w:rsidRPr="00771C0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C52B0"/>
    <w:multiLevelType w:val="singleLevel"/>
    <w:tmpl w:val="142C25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11C0E7B"/>
    <w:multiLevelType w:val="singleLevel"/>
    <w:tmpl w:val="8D0ED2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76A7358"/>
    <w:multiLevelType w:val="singleLevel"/>
    <w:tmpl w:val="454622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930007E"/>
    <w:multiLevelType w:val="singleLevel"/>
    <w:tmpl w:val="96E69B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7556DB9"/>
    <w:multiLevelType w:val="singleLevel"/>
    <w:tmpl w:val="34CA9C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AF33301"/>
    <w:multiLevelType w:val="singleLevel"/>
    <w:tmpl w:val="8ECEFD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40FA06BF"/>
    <w:multiLevelType w:val="singleLevel"/>
    <w:tmpl w:val="337689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1A529CD"/>
    <w:multiLevelType w:val="singleLevel"/>
    <w:tmpl w:val="AD6EE1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6672515"/>
    <w:multiLevelType w:val="singleLevel"/>
    <w:tmpl w:val="96E69B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B327883"/>
    <w:multiLevelType w:val="singleLevel"/>
    <w:tmpl w:val="847052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3971951"/>
    <w:multiLevelType w:val="singleLevel"/>
    <w:tmpl w:val="93DCFC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4E066E1"/>
    <w:multiLevelType w:val="singleLevel"/>
    <w:tmpl w:val="4EAA20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ACE550B"/>
    <w:multiLevelType w:val="singleLevel"/>
    <w:tmpl w:val="A252CD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1763AB8"/>
    <w:multiLevelType w:val="singleLevel"/>
    <w:tmpl w:val="7D826C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1E55707"/>
    <w:multiLevelType w:val="singleLevel"/>
    <w:tmpl w:val="B540F7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7EC1C1A"/>
    <w:multiLevelType w:val="singleLevel"/>
    <w:tmpl w:val="E5D494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CDB23AF"/>
    <w:multiLevelType w:val="singleLevel"/>
    <w:tmpl w:val="BD642A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1"/>
  </w:num>
  <w:num w:numId="5">
    <w:abstractNumId w:val="14"/>
  </w:num>
  <w:num w:numId="6">
    <w:abstractNumId w:val="13"/>
  </w:num>
  <w:num w:numId="7">
    <w:abstractNumId w:val="11"/>
  </w:num>
  <w:num w:numId="8">
    <w:abstractNumId w:val="12"/>
  </w:num>
  <w:num w:numId="9">
    <w:abstractNumId w:val="0"/>
  </w:num>
  <w:num w:numId="10">
    <w:abstractNumId w:val="8"/>
  </w:num>
  <w:num w:numId="11">
    <w:abstractNumId w:val="17"/>
  </w:num>
  <w:num w:numId="12">
    <w:abstractNumId w:val="15"/>
  </w:num>
  <w:num w:numId="13">
    <w:abstractNumId w:val="16"/>
  </w:num>
  <w:num w:numId="14">
    <w:abstractNumId w:val="5"/>
  </w:num>
  <w:num w:numId="15">
    <w:abstractNumId w:val="9"/>
  </w:num>
  <w:num w:numId="16">
    <w:abstractNumId w:val="18"/>
  </w:num>
  <w:num w:numId="17">
    <w:abstractNumId w:val="6"/>
  </w:num>
  <w:num w:numId="18">
    <w:abstractNumId w:val="3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71C0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71C0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71C0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69ED517-94FC-423B-9FB5-1395FEA70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1584</Characters>
  <Application>Microsoft Office Word</Application>
  <DocSecurity>0</DocSecurity>
  <Lines>13</Lines>
  <Paragraphs>3</Paragraphs>
  <ScaleCrop>false</ScaleCrop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2026-05-13T19:55:00Z</dcterms:created>
  <dcterms:modified xsi:type="dcterms:W3CDTF">2026-05-13T19:55:00Z</dcterms:modified>
</cp:coreProperties>
</file>