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D85EFC1" w:rsidR="0049405C" w:rsidRPr="00C24D79" w:rsidRDefault="00756A0D" w:rsidP="00756A0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56A0D">
              <w:rPr>
                <w:rFonts w:ascii="等线" w:eastAsia="等线" w:hAnsi="Times New Roman"/>
                <w:b/>
                <w:color w:val="000000"/>
                <w:sz w:val="48"/>
              </w:rPr>
              <w:t>ANN HUANG</w:t>
            </w:r>
            <w:bookmarkEnd w:id="0"/>
          </w:p>
          <w:p w14:paraId="706EB16B" w14:textId="464BAADC" w:rsidR="0049405C" w:rsidRPr="00C24D79" w:rsidRDefault="00756A0D" w:rsidP="00756A0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56A0D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756A0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56A0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FE69B8D" w:rsidR="0049405C" w:rsidRPr="00C24D79" w:rsidRDefault="00756A0D" w:rsidP="00756A0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56A0D">
              <w:rPr>
                <w:rFonts w:ascii="等线" w:eastAsia="等线" w:hAnsi="Times New Roman"/>
                <w:color w:val="000000"/>
              </w:rPr>
              <w:t xml:space="preserve">+86 21 6263 5873 </w:t>
            </w:r>
            <w:bookmarkEnd w:id="3"/>
          </w:p>
          <w:p w14:paraId="4F910ACA" w14:textId="2CEA6410" w:rsidR="0049405C" w:rsidRPr="00C24D79" w:rsidRDefault="00756A0D" w:rsidP="00756A0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56A0D">
              <w:rPr>
                <w:rFonts w:ascii="等线" w:eastAsia="等线" w:hAnsi="Times New Roman"/>
                <w:color w:val="000000"/>
              </w:rPr>
              <w:t>ann.huang@fangdalaw.com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43DE447" w:rsidR="0049405C" w:rsidRPr="00C24D79" w:rsidRDefault="00756A0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56B22CD" wp14:editId="7EF600F4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70D8C9C" w:rsidR="009465FB" w:rsidRPr="00C24D79" w:rsidRDefault="00756A0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56A0D">
              <w:rPr>
                <w:rFonts w:ascii="等线" w:eastAsia="等线" w:hAnsi="Times New Roman"/>
                <w:color w:val="000000"/>
                <w:szCs w:val="21"/>
              </w:rPr>
              <w:t xml:space="preserve">MS. HUANG SPECIALIZES IN INVESTMENT, ACQUISITION, OPERATION AND MANAGEMENT FOR REAL ESTATE PROJECTS AND FOR MUNICIPAL CONCESSIONARY AND PPP PROJECTS.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63B6EA1" w14:textId="77777777" w:rsidR="00756A0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68F316D" w14:textId="77777777" w:rsidR="00756A0D" w:rsidRDefault="00756A0D" w:rsidP="00756A0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56A0D">
        <w:rPr>
          <w:rFonts w:ascii="等线" w:eastAsia="等线" w:hAnsi="等线"/>
          <w:b/>
          <w:sz w:val="24"/>
        </w:rPr>
        <w:t>REPRESENTATIVE MATTERS AND CASES</w:t>
      </w:r>
    </w:p>
    <w:p w14:paraId="28D254F9" w14:textId="77777777" w:rsidR="00756A0D" w:rsidRDefault="00756A0D" w:rsidP="00756A0D">
      <w:pPr>
        <w:pStyle w:val="af5"/>
        <w:spacing w:before="12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Real estate acquisition and disposition</w:t>
      </w:r>
    </w:p>
    <w:p w14:paraId="68AC00E7" w14:textId="77777777" w:rsidR="00756A0D" w:rsidRDefault="00756A0D" w:rsidP="00756A0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multiple investors and developers in their acquisition, disposition, investment platform set-up, development, management, asset management, construction and leasing of logistics and industrial properties throughout China</w:t>
      </w:r>
    </w:p>
    <w:p w14:paraId="25239445" w14:textId="77777777" w:rsidR="00756A0D" w:rsidRDefault="00756A0D" w:rsidP="00756A0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multiple investors on build-to-suit (BTS) projects for office, manufacturing, R&amp;D, logistics and warehousing, and educational and healthcare premises throughout China</w:t>
      </w:r>
    </w:p>
    <w:p w14:paraId="0532FA4B" w14:textId="77777777" w:rsidR="00756A0D" w:rsidRDefault="00756A0D" w:rsidP="00756A0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multiple investors in acquiring, building and operating Internet Data Center (IDC)</w:t>
      </w:r>
    </w:p>
    <w:p w14:paraId="1689C315" w14:textId="77777777" w:rsidR="00756A0D" w:rsidRDefault="00756A0D" w:rsidP="00756A0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Warburg Pincus on its investment in office, industrial, rental apartment and logistics properties</w:t>
      </w:r>
    </w:p>
    <w:p w14:paraId="67853EA6" w14:textId="77777777" w:rsidR="00756A0D" w:rsidRDefault="00756A0D" w:rsidP="00756A0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Gemdale Viseen on its establishment of a private equity fund with CPIC and other LPs to acquire four industrial parks in Shanghai</w:t>
      </w:r>
    </w:p>
    <w:p w14:paraId="09FC452D" w14:textId="77777777" w:rsidR="00756A0D" w:rsidRDefault="00756A0D" w:rsidP="00756A0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GIC in its investment in commercial, industrial and rental apartment properties throughout China</w:t>
      </w:r>
    </w:p>
    <w:p w14:paraId="048BAF1A" w14:textId="77777777" w:rsidR="00756A0D" w:rsidRDefault="00756A0D" w:rsidP="00756A0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Prologis in its acquisition and disposal of logistics and industrial properties throughout China</w:t>
      </w:r>
    </w:p>
    <w:p w14:paraId="7C051053" w14:textId="77777777" w:rsidR="00756A0D" w:rsidRDefault="00756A0D" w:rsidP="00756A0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SC Capital in its acquisition and disposal of logistics and industrial properties throughout China</w:t>
      </w:r>
    </w:p>
    <w:p w14:paraId="61F3D925" w14:textId="77777777" w:rsidR="00756A0D" w:rsidRDefault="00756A0D" w:rsidP="00756A0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Gaw Capital in its acquisition of logistics and industrial properties and life science parks throughout China</w:t>
      </w:r>
    </w:p>
    <w:p w14:paraId="06559D94" w14:textId="77777777" w:rsidR="00756A0D" w:rsidRDefault="00756A0D" w:rsidP="00756A0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BeiGene in its acquisition of a construction in progress project from Zhangjiang Group and its partnership with Hillhouse for the development of life sciences industrial parks</w:t>
      </w:r>
    </w:p>
    <w:p w14:paraId="0A389882" w14:textId="77777777" w:rsidR="00756A0D" w:rsidRDefault="00756A0D" w:rsidP="00756A0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Ant Group in its bid, construction and operation for core land in Bund, Shanghai</w:t>
      </w:r>
    </w:p>
    <w:p w14:paraId="40B60DCD" w14:textId="77777777" w:rsidR="00756A0D" w:rsidRDefault="00756A0D" w:rsidP="00756A0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Kerry Properties in its acquisition, disposal, development and financing of real estate projects throughout China, including its bid for core land in Huangpu, Shanghai</w:t>
      </w:r>
    </w:p>
    <w:p w14:paraId="313223A1" w14:textId="77777777" w:rsidR="00756A0D" w:rsidRDefault="00756A0D" w:rsidP="00756A0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Tishman Speyer in its disposal of a Chengdu retail property to a joint venture between ARA and CICC Capital, its disposal of Shanghai New Bond and Jiangwan properties, its mixed-use property joint development project in Changning, Shanghai, and its acquisition of a hotel located in Yangpu, Shanghai and transformed into long-term rental apartment</w:t>
      </w:r>
    </w:p>
    <w:p w14:paraId="0597EF7C" w14:textId="77777777" w:rsidR="00756A0D" w:rsidRDefault="00756A0D" w:rsidP="00756A0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Baoneng in its acquisition of a commercial and office property in Shanghai</w:t>
      </w:r>
    </w:p>
    <w:p w14:paraId="244EFFB8" w14:textId="77777777" w:rsidR="00756A0D" w:rsidRDefault="00756A0D" w:rsidP="00756A0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Brookfield in its acquisition and disposal of office and retail properties in China, including its acquisition of a large mixed-use project located in Huangpu, Shanghai</w:t>
      </w:r>
    </w:p>
    <w:p w14:paraId="35B5B247" w14:textId="77777777" w:rsidR="00756A0D" w:rsidRDefault="00756A0D" w:rsidP="00756A0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Honeywell in its sale of office properties in Shanghai</w:t>
      </w:r>
    </w:p>
    <w:p w14:paraId="27DFF3D5" w14:textId="77777777" w:rsidR="00756A0D" w:rsidRDefault="00756A0D" w:rsidP="00756A0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China Resources Enterprise in its acquisition of industrial properties throughout China</w:t>
      </w:r>
    </w:p>
    <w:p w14:paraId="2083A5F2" w14:textId="77777777" w:rsidR="00756A0D" w:rsidRDefault="00756A0D" w:rsidP="00756A0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SCPG in its acquisition of commercial properties in China from CapitaLand</w:t>
      </w:r>
    </w:p>
    <w:p w14:paraId="2147C1BA" w14:textId="77777777" w:rsidR="00756A0D" w:rsidRDefault="00756A0D" w:rsidP="00756A0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Ting Hsing Group in its acquisition of 1788 International Center in Shanghai</w:t>
      </w:r>
    </w:p>
    <w:p w14:paraId="16802DF0" w14:textId="77777777" w:rsidR="00756A0D" w:rsidRDefault="00756A0D" w:rsidP="00756A0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a family group in its disposal of commercial properties in the Yangtze River Delta region</w:t>
      </w:r>
    </w:p>
    <w:p w14:paraId="4DF034A1" w14:textId="77777777" w:rsidR="00756A0D" w:rsidRDefault="00756A0D" w:rsidP="00756A0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a family fund in its acquisition of commercial, office and residential properties in Shanghai</w:t>
      </w:r>
    </w:p>
    <w:p w14:paraId="21432458" w14:textId="77777777" w:rsidR="00756A0D" w:rsidRDefault="00756A0D" w:rsidP="00756A0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Covanta Energy in connection with its investment portfolio holdings in power generation and energy-from-waste facilities in China</w:t>
      </w:r>
    </w:p>
    <w:p w14:paraId="14816850" w14:textId="77777777" w:rsidR="00756A0D" w:rsidRDefault="00756A0D" w:rsidP="00756A0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Industrial Bank Co., Ltd. in its acquisition of a land use right</w:t>
      </w:r>
    </w:p>
    <w:p w14:paraId="6F8D23AD" w14:textId="77777777" w:rsidR="00756A0D" w:rsidRDefault="00756A0D" w:rsidP="00756A0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a family fund in its development of commercial and office real estate</w:t>
      </w:r>
    </w:p>
    <w:p w14:paraId="6111A651" w14:textId="77777777" w:rsidR="00756A0D" w:rsidRDefault="00756A0D" w:rsidP="00756A0D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CMIG in its acquisition of property management companies within China</w:t>
      </w:r>
    </w:p>
    <w:p w14:paraId="1422CF58" w14:textId="77777777" w:rsidR="00756A0D" w:rsidRDefault="00756A0D" w:rsidP="00756A0D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CPIC in its disposal of real estate property in Shanghai</w:t>
      </w:r>
    </w:p>
    <w:p w14:paraId="557B540A" w14:textId="77777777" w:rsidR="00756A0D" w:rsidRDefault="00756A0D" w:rsidP="00756A0D">
      <w:pPr>
        <w:pStyle w:val="af5"/>
        <w:spacing w:before="12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Commercial leasing</w:t>
      </w:r>
    </w:p>
    <w:p w14:paraId="6165256E" w14:textId="77777777" w:rsidR="00756A0D" w:rsidRDefault="00756A0D" w:rsidP="00756A0D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Starbucks in its lease of coffee store sites throughout China</w:t>
      </w:r>
    </w:p>
    <w:p w14:paraId="021B466C" w14:textId="77777777" w:rsidR="00756A0D" w:rsidRDefault="00756A0D" w:rsidP="00756A0D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JPMorgan in its lease of offices in Shanghai and other cities throughout China</w:t>
      </w:r>
    </w:p>
    <w:p w14:paraId="20454FE3" w14:textId="77777777" w:rsidR="00756A0D" w:rsidRDefault="00756A0D" w:rsidP="00756A0D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GIC in leasing and property management for Azia Center, a premier office building in Shanghai</w:t>
      </w:r>
    </w:p>
    <w:p w14:paraId="3A2AFCC9" w14:textId="77777777" w:rsidR="00756A0D" w:rsidRDefault="00756A0D" w:rsidP="00756A0D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Ting Hsing Group in its lease of Garden Square in Shanghai</w:t>
      </w:r>
    </w:p>
    <w:p w14:paraId="6F227133" w14:textId="77777777" w:rsidR="00756A0D" w:rsidRDefault="00756A0D" w:rsidP="00756A0D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CapitaLand (China) Investment Co., Ltd. in its lease of Raffles City, Changning Raffles and Capital Square in Shanghai</w:t>
      </w:r>
    </w:p>
    <w:p w14:paraId="150D7CA1" w14:textId="77777777" w:rsidR="00756A0D" w:rsidRDefault="00756A0D" w:rsidP="00756A0D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SHK in its lease of IFC, IAPM and Central Plaza</w:t>
      </w:r>
    </w:p>
    <w:p w14:paraId="535759AB" w14:textId="77777777" w:rsidR="00756A0D" w:rsidRDefault="00756A0D" w:rsidP="00756A0D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Bank of Communications Financial Leasing Co., Ltd. in its lease of BRICS Tower</w:t>
      </w:r>
    </w:p>
    <w:p w14:paraId="3ECB20E2" w14:textId="77777777" w:rsidR="00756A0D" w:rsidRDefault="00756A0D" w:rsidP="00756A0D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CPIC Life in its lease of The Center</w:t>
      </w:r>
    </w:p>
    <w:p w14:paraId="21ACA217" w14:textId="77777777" w:rsidR="00756A0D" w:rsidRDefault="00756A0D" w:rsidP="00756A0D">
      <w:pPr>
        <w:pStyle w:val="af5"/>
        <w:spacing w:before="12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Private equity investment</w:t>
      </w:r>
    </w:p>
    <w:p w14:paraId="4E518EF2" w14:textId="77777777" w:rsidR="00756A0D" w:rsidRDefault="00756A0D" w:rsidP="00756A0D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NIO on its restructuring of core businesses and assets in China and on establishing its headquarters in Hefei as part of its CNY 7 billion equity financing deal with a strategic investor group</w:t>
      </w:r>
    </w:p>
    <w:p w14:paraId="2415C1BE" w14:textId="77777777" w:rsidR="00756A0D" w:rsidRDefault="00756A0D" w:rsidP="00756A0D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NIO in the establishment of two joint ventures with local partners</w:t>
      </w:r>
    </w:p>
    <w:p w14:paraId="37946C5E" w14:textId="77777777" w:rsidR="00756A0D" w:rsidRDefault="00756A0D" w:rsidP="00756A0D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NIO in its vehicle production cooperation, production line construction, product technology cooperation, product liability allocation, and prototype vehicle trial production cooperation</w:t>
      </w:r>
    </w:p>
    <w:p w14:paraId="5F8E87C3" w14:textId="77777777" w:rsidR="00756A0D" w:rsidRDefault="00756A0D" w:rsidP="00756A0D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Represented CICC in its investment in the international datacenter industry</w:t>
      </w:r>
    </w:p>
    <w:p w14:paraId="5BBD0010" w14:textId="77777777" w:rsidR="00756A0D" w:rsidRDefault="00756A0D" w:rsidP="00756A0D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 xml:space="preserve">Represented Four Rivers Fund in its participation in the insolvency and restructuring of Chongqing Iron &amp; Steel  </w:t>
      </w:r>
      <w:r w:rsidRPr="00756A0D">
        <w:rPr>
          <w:rFonts w:ascii="等线" w:eastAsia="等线" w:hAnsi="Times New Roman"/>
          <w:color w:val="000000"/>
        </w:rPr>
        <w:t> </w:t>
      </w:r>
      <w:r w:rsidRPr="00756A0D">
        <w:rPr>
          <w:rFonts w:ascii="等线" w:eastAsia="等线" w:hAnsi="Times New Roman"/>
          <w:color w:val="000000"/>
        </w:rPr>
        <w:t xml:space="preserve"> * Some work was performed at prior firms.</w:t>
      </w:r>
    </w:p>
    <w:p w14:paraId="01A07612" w14:textId="77777777" w:rsidR="00756A0D" w:rsidRDefault="00756A0D" w:rsidP="00756A0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56A0D">
        <w:rPr>
          <w:rFonts w:ascii="等线" w:eastAsia="等线" w:hAnsi="等线"/>
          <w:b/>
          <w:sz w:val="24"/>
        </w:rPr>
        <w:t>Education</w:t>
      </w:r>
    </w:p>
    <w:p w14:paraId="021D8D4E" w14:textId="77777777" w:rsidR="00756A0D" w:rsidRDefault="00756A0D" w:rsidP="00756A0D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Fudan University, School of Law, M.A.</w:t>
      </w:r>
    </w:p>
    <w:p w14:paraId="1777A8BC" w14:textId="77777777" w:rsidR="00756A0D" w:rsidRDefault="00756A0D" w:rsidP="00756A0D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Fudan University, School of Law, B.A.</w:t>
      </w:r>
    </w:p>
    <w:p w14:paraId="7D9300F2" w14:textId="77777777" w:rsidR="00756A0D" w:rsidRDefault="00756A0D" w:rsidP="00756A0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56A0D">
        <w:rPr>
          <w:rFonts w:ascii="等线" w:eastAsia="等线" w:hAnsi="等线"/>
          <w:b/>
          <w:sz w:val="24"/>
        </w:rPr>
        <w:t>Professional Qualification</w:t>
      </w:r>
    </w:p>
    <w:p w14:paraId="4976346D" w14:textId="77777777" w:rsidR="00756A0D" w:rsidRDefault="00756A0D" w:rsidP="00756A0D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Admitted to practice in the PRC</w:t>
      </w:r>
    </w:p>
    <w:p w14:paraId="2536F1D8" w14:textId="77777777" w:rsidR="00756A0D" w:rsidRDefault="00756A0D" w:rsidP="00756A0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56A0D">
        <w:rPr>
          <w:rFonts w:ascii="等线" w:eastAsia="等线" w:hAnsi="等线"/>
          <w:b/>
          <w:sz w:val="24"/>
        </w:rPr>
        <w:t>Professional Background</w:t>
      </w:r>
    </w:p>
    <w:p w14:paraId="5567FC3C" w14:textId="47E8C070" w:rsidR="00686369" w:rsidRPr="00756A0D" w:rsidRDefault="00756A0D" w:rsidP="00756A0D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6A0D">
        <w:rPr>
          <w:rFonts w:ascii="等线" w:eastAsia="等线" w:hAnsi="Times New Roman"/>
          <w:color w:val="000000"/>
        </w:rPr>
        <w:t>Ms. Huang joined Fangda in 2018. Before joining Fangda, Ms. Huang worked at King &amp; Wood Mallesons Shanghai office.</w:t>
      </w:r>
    </w:p>
    <w:sectPr w:rsidR="00686369" w:rsidRPr="00756A0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24876"/>
    <w:multiLevelType w:val="singleLevel"/>
    <w:tmpl w:val="8E54CC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D510C9"/>
    <w:multiLevelType w:val="singleLevel"/>
    <w:tmpl w:val="851CFA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3F7DFA"/>
    <w:multiLevelType w:val="singleLevel"/>
    <w:tmpl w:val="81C833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C05700"/>
    <w:multiLevelType w:val="singleLevel"/>
    <w:tmpl w:val="6CAC80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59B0749"/>
    <w:multiLevelType w:val="singleLevel"/>
    <w:tmpl w:val="8E54CC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8C27E57"/>
    <w:multiLevelType w:val="singleLevel"/>
    <w:tmpl w:val="86D641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875344"/>
    <w:multiLevelType w:val="singleLevel"/>
    <w:tmpl w:val="FA7037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3622B59"/>
    <w:multiLevelType w:val="singleLevel"/>
    <w:tmpl w:val="8A6261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D27A9E"/>
    <w:multiLevelType w:val="singleLevel"/>
    <w:tmpl w:val="26AC10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5D77060"/>
    <w:multiLevelType w:val="singleLevel"/>
    <w:tmpl w:val="DC5E9C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2FFE6C76"/>
    <w:multiLevelType w:val="singleLevel"/>
    <w:tmpl w:val="795673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81A0C2F"/>
    <w:multiLevelType w:val="singleLevel"/>
    <w:tmpl w:val="1A3CF5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9B33D01"/>
    <w:multiLevelType w:val="singleLevel"/>
    <w:tmpl w:val="4F98D7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9CD1DFB"/>
    <w:multiLevelType w:val="singleLevel"/>
    <w:tmpl w:val="811CB7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11167FB"/>
    <w:multiLevelType w:val="singleLevel"/>
    <w:tmpl w:val="719E53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1DA13F7"/>
    <w:multiLevelType w:val="singleLevel"/>
    <w:tmpl w:val="7C96FB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5592FAA"/>
    <w:multiLevelType w:val="singleLevel"/>
    <w:tmpl w:val="009E28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7AA7D25"/>
    <w:multiLevelType w:val="singleLevel"/>
    <w:tmpl w:val="00D089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A3C157A"/>
    <w:multiLevelType w:val="singleLevel"/>
    <w:tmpl w:val="66DC71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BD8627D"/>
    <w:multiLevelType w:val="singleLevel"/>
    <w:tmpl w:val="BB74D6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E0263EA"/>
    <w:multiLevelType w:val="singleLevel"/>
    <w:tmpl w:val="319EE6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ECA6CBE"/>
    <w:multiLevelType w:val="singleLevel"/>
    <w:tmpl w:val="63CE52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FCF7D7B"/>
    <w:multiLevelType w:val="singleLevel"/>
    <w:tmpl w:val="96CC97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27103DA"/>
    <w:multiLevelType w:val="singleLevel"/>
    <w:tmpl w:val="EA9022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8C67607"/>
    <w:multiLevelType w:val="singleLevel"/>
    <w:tmpl w:val="144C06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AFE7FE7"/>
    <w:multiLevelType w:val="singleLevel"/>
    <w:tmpl w:val="D2A21C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F5223E5"/>
    <w:multiLevelType w:val="singleLevel"/>
    <w:tmpl w:val="259E92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0241510"/>
    <w:multiLevelType w:val="singleLevel"/>
    <w:tmpl w:val="03BC9F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2017B50"/>
    <w:multiLevelType w:val="singleLevel"/>
    <w:tmpl w:val="388499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33657D6"/>
    <w:multiLevelType w:val="singleLevel"/>
    <w:tmpl w:val="63DEA2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5F54109"/>
    <w:multiLevelType w:val="singleLevel"/>
    <w:tmpl w:val="B91853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7BA1097"/>
    <w:multiLevelType w:val="singleLevel"/>
    <w:tmpl w:val="2E8058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9FD59BE"/>
    <w:multiLevelType w:val="singleLevel"/>
    <w:tmpl w:val="E3FE3C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AAB7E3F"/>
    <w:multiLevelType w:val="singleLevel"/>
    <w:tmpl w:val="8A2419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D302044"/>
    <w:multiLevelType w:val="singleLevel"/>
    <w:tmpl w:val="245650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DDA1D00"/>
    <w:multiLevelType w:val="singleLevel"/>
    <w:tmpl w:val="C7BE6A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F097B9B"/>
    <w:multiLevelType w:val="singleLevel"/>
    <w:tmpl w:val="0A244B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169242D"/>
    <w:multiLevelType w:val="singleLevel"/>
    <w:tmpl w:val="D1CE65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17E44AE"/>
    <w:multiLevelType w:val="singleLevel"/>
    <w:tmpl w:val="20C6B2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5713F78"/>
    <w:multiLevelType w:val="singleLevel"/>
    <w:tmpl w:val="44CEFF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5A1030C"/>
    <w:multiLevelType w:val="singleLevel"/>
    <w:tmpl w:val="FB8E2F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95A497B"/>
    <w:multiLevelType w:val="singleLevel"/>
    <w:tmpl w:val="B0342F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C701756"/>
    <w:multiLevelType w:val="singleLevel"/>
    <w:tmpl w:val="F9BC6E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F1529B4"/>
    <w:multiLevelType w:val="singleLevel"/>
    <w:tmpl w:val="DC065F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5"/>
  </w:num>
  <w:num w:numId="3">
    <w:abstractNumId w:val="36"/>
  </w:num>
  <w:num w:numId="4">
    <w:abstractNumId w:val="3"/>
  </w:num>
  <w:num w:numId="5">
    <w:abstractNumId w:val="16"/>
  </w:num>
  <w:num w:numId="6">
    <w:abstractNumId w:val="2"/>
  </w:num>
  <w:num w:numId="7">
    <w:abstractNumId w:val="31"/>
  </w:num>
  <w:num w:numId="8">
    <w:abstractNumId w:val="44"/>
  </w:num>
  <w:num w:numId="9">
    <w:abstractNumId w:val="37"/>
  </w:num>
  <w:num w:numId="10">
    <w:abstractNumId w:val="13"/>
  </w:num>
  <w:num w:numId="11">
    <w:abstractNumId w:val="5"/>
  </w:num>
  <w:num w:numId="12">
    <w:abstractNumId w:val="38"/>
  </w:num>
  <w:num w:numId="13">
    <w:abstractNumId w:val="25"/>
  </w:num>
  <w:num w:numId="14">
    <w:abstractNumId w:val="34"/>
  </w:num>
  <w:num w:numId="15">
    <w:abstractNumId w:val="1"/>
  </w:num>
  <w:num w:numId="16">
    <w:abstractNumId w:val="20"/>
  </w:num>
  <w:num w:numId="17">
    <w:abstractNumId w:val="42"/>
  </w:num>
  <w:num w:numId="18">
    <w:abstractNumId w:val="12"/>
  </w:num>
  <w:num w:numId="19">
    <w:abstractNumId w:val="26"/>
  </w:num>
  <w:num w:numId="20">
    <w:abstractNumId w:val="40"/>
  </w:num>
  <w:num w:numId="21">
    <w:abstractNumId w:val="33"/>
  </w:num>
  <w:num w:numId="22">
    <w:abstractNumId w:val="30"/>
  </w:num>
  <w:num w:numId="23">
    <w:abstractNumId w:val="28"/>
  </w:num>
  <w:num w:numId="24">
    <w:abstractNumId w:val="24"/>
  </w:num>
  <w:num w:numId="25">
    <w:abstractNumId w:val="43"/>
  </w:num>
  <w:num w:numId="26">
    <w:abstractNumId w:val="32"/>
  </w:num>
  <w:num w:numId="27">
    <w:abstractNumId w:val="41"/>
  </w:num>
  <w:num w:numId="28">
    <w:abstractNumId w:val="35"/>
  </w:num>
  <w:num w:numId="29">
    <w:abstractNumId w:val="39"/>
  </w:num>
  <w:num w:numId="30">
    <w:abstractNumId w:val="8"/>
  </w:num>
  <w:num w:numId="31">
    <w:abstractNumId w:val="14"/>
  </w:num>
  <w:num w:numId="32">
    <w:abstractNumId w:val="21"/>
  </w:num>
  <w:num w:numId="33">
    <w:abstractNumId w:val="7"/>
  </w:num>
  <w:num w:numId="34">
    <w:abstractNumId w:val="18"/>
  </w:num>
  <w:num w:numId="35">
    <w:abstractNumId w:val="45"/>
  </w:num>
  <w:num w:numId="36">
    <w:abstractNumId w:val="29"/>
  </w:num>
  <w:num w:numId="37">
    <w:abstractNumId w:val="22"/>
  </w:num>
  <w:num w:numId="38">
    <w:abstractNumId w:val="9"/>
  </w:num>
  <w:num w:numId="39">
    <w:abstractNumId w:val="6"/>
  </w:num>
  <w:num w:numId="40">
    <w:abstractNumId w:val="11"/>
  </w:num>
  <w:num w:numId="41">
    <w:abstractNumId w:val="23"/>
  </w:num>
  <w:num w:numId="42">
    <w:abstractNumId w:val="19"/>
  </w:num>
  <w:num w:numId="43">
    <w:abstractNumId w:val="17"/>
  </w:num>
  <w:num w:numId="44">
    <w:abstractNumId w:val="27"/>
  </w:num>
  <w:num w:numId="45">
    <w:abstractNumId w:val="0"/>
  </w:num>
  <w:num w:numId="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56A0D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56A0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56A0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13D494A-F885-4BED-AAF4-9456E1270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796</Words>
  <Characters>4541</Characters>
  <Application>Microsoft Office Word</Application>
  <DocSecurity>0</DocSecurity>
  <Lines>37</Lines>
  <Paragraphs>10</Paragraphs>
  <ScaleCrop>false</ScaleCrop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2026-09-13T23:46:00Z</dcterms:created>
  <dcterms:modified xsi:type="dcterms:W3CDTF">2026-09-13T23:46:00Z</dcterms:modified>
</cp:coreProperties>
</file>