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5419455" w:rsidR="0049405C" w:rsidRPr="00C24D79" w:rsidRDefault="002D3C7F" w:rsidP="002D3C7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D3C7F">
              <w:rPr>
                <w:rFonts w:ascii="等线" w:eastAsia="等线" w:hAnsi="Times New Roman"/>
                <w:b/>
                <w:color w:val="000000"/>
                <w:sz w:val="48"/>
              </w:rPr>
              <w:t>CHEN FENG</w:t>
            </w:r>
            <w:bookmarkEnd w:id="0"/>
          </w:p>
          <w:p w14:paraId="706EB16B" w14:textId="7FE44CDA" w:rsidR="0049405C" w:rsidRPr="00C24D79" w:rsidRDefault="002D3C7F" w:rsidP="002D3C7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D3C7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D3C7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D3C7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4654E70" w:rsidR="0049405C" w:rsidRPr="00C24D79" w:rsidRDefault="002D3C7F" w:rsidP="002D3C7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D3C7F">
              <w:rPr>
                <w:rFonts w:ascii="等线" w:eastAsia="等线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6D7F19A4" w:rsidR="0049405C" w:rsidRPr="00C24D79" w:rsidRDefault="002D3C7F" w:rsidP="002D3C7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D3C7F">
              <w:rPr>
                <w:rFonts w:ascii="等线" w:eastAsia="等线" w:hAnsi="Times New Roman"/>
                <w:color w:val="000000"/>
              </w:rPr>
              <w:t>Chen.feng@fangdalaw.com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722519E" w:rsidR="0049405C" w:rsidRPr="00C24D79" w:rsidRDefault="002D3C7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A2191A" wp14:editId="7E5529D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007ABA1" w:rsidR="009465FB" w:rsidRPr="00C24D79" w:rsidRDefault="002D3C7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D3C7F">
              <w:rPr>
                <w:rFonts w:ascii="等线" w:eastAsia="等线" w:hAnsi="Times New Roman"/>
                <w:color w:val="000000"/>
                <w:szCs w:val="21"/>
              </w:rPr>
              <w:t>MS. CHEN FENG SPECIALIZES IN M&amp;A, PRIVATE EQUITY AND VENTURE CAPITAL INVESTMENT, FOF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734BA3D" w14:textId="77777777" w:rsidR="002D3C7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8CD204E" w14:textId="77777777" w:rsidR="002D3C7F" w:rsidRDefault="002D3C7F" w:rsidP="002D3C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D3C7F">
        <w:rPr>
          <w:rFonts w:ascii="等线" w:eastAsia="等线" w:hAnsi="等线"/>
          <w:b/>
          <w:sz w:val="24"/>
        </w:rPr>
        <w:t>REPRESENTATIVE MATTERS AND CASES</w:t>
      </w:r>
    </w:p>
    <w:p w14:paraId="018F4D5E" w14:textId="77777777" w:rsidR="002D3C7F" w:rsidRDefault="002D3C7F" w:rsidP="002D3C7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E6E4368" w14:textId="77777777" w:rsidR="002D3C7F" w:rsidRDefault="002D3C7F" w:rsidP="002D3C7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China Huaneng Group in its acquisition of several photovoltaic power generation companies from GCL New Energy Holdings (0451.HK)</w:t>
      </w:r>
    </w:p>
    <w:p w14:paraId="0359D3D0" w14:textId="77777777" w:rsidR="002D3C7F" w:rsidRDefault="002D3C7F" w:rsidP="002D3C7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HNA Group and Tianhai Investment Development, an A-share listed company, in its merger with NYSE-listed Ingram Micro</w:t>
      </w:r>
    </w:p>
    <w:p w14:paraId="04E5F57F" w14:textId="77777777" w:rsidR="002D3C7F" w:rsidRDefault="002D3C7F" w:rsidP="002D3C7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CICC Capital in its acquisition of 51% equity in Zhejiang Shell</w:t>
      </w:r>
    </w:p>
    <w:p w14:paraId="3350F248" w14:textId="77777777" w:rsidR="002D3C7F" w:rsidRDefault="002D3C7F" w:rsidP="002D3C7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a Singapore-listed company in its business restructuring and subsequent MBO acquisition</w:t>
      </w:r>
    </w:p>
    <w:p w14:paraId="52C89C3A" w14:textId="77777777" w:rsidR="002D3C7F" w:rsidRDefault="002D3C7F" w:rsidP="002D3C7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AEP in its acquisition of controlling interest in Jinmailand Food</w:t>
      </w:r>
    </w:p>
    <w:p w14:paraId="100C6281" w14:textId="77777777" w:rsidR="002D3C7F" w:rsidRDefault="002D3C7F" w:rsidP="002D3C7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Qianfang Technology in its acquisition of 51% equity interest in Beijing Pantian</w:t>
      </w:r>
    </w:p>
    <w:p w14:paraId="213BF70B" w14:textId="77777777" w:rsidR="002D3C7F" w:rsidRDefault="002D3C7F" w:rsidP="002D3C7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several enterprises in their red-chip restructuring deals</w:t>
      </w:r>
    </w:p>
    <w:p w14:paraId="1BED5837" w14:textId="77777777" w:rsidR="002D3C7F" w:rsidRDefault="002D3C7F" w:rsidP="002D3C7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China Mobile in its cornerstone investment in Xiaomi Group</w:t>
      </w:r>
    </w:p>
    <w:p w14:paraId="5C6A1C30" w14:textId="77777777" w:rsidR="002D3C7F" w:rsidRDefault="002D3C7F" w:rsidP="002D3C7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China Mobile in its share subscription to Mangguochaomei (300413.SZ)</w:t>
      </w:r>
    </w:p>
    <w:p w14:paraId="4085BF3C" w14:textId="77777777" w:rsidR="002D3C7F" w:rsidRDefault="002D3C7F" w:rsidP="002D3C7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Ant Finance in its investment in Ubox Online</w:t>
      </w:r>
    </w:p>
    <w:p w14:paraId="1AC35597" w14:textId="77777777" w:rsidR="002D3C7F" w:rsidRDefault="002D3C7F" w:rsidP="002D3C7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Ant Finance in its Series D investment in YSTen Technology, a leading OTT TV technology, product and service provider</w:t>
      </w:r>
    </w:p>
    <w:p w14:paraId="704E8ADC" w14:textId="77777777" w:rsidR="002D3C7F" w:rsidRDefault="002D3C7F" w:rsidP="002D3C7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Ant Finance in its Series A and A+ investment in Xiyun Group, a leading group catering enterprise</w:t>
      </w:r>
    </w:p>
    <w:p w14:paraId="583D3104" w14:textId="77777777" w:rsidR="002D3C7F" w:rsidRDefault="002D3C7F" w:rsidP="002D3C7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an offshore pension fund in its proposed investment in Danke Department</w:t>
      </w:r>
    </w:p>
    <w:p w14:paraId="7719E435" w14:textId="77777777" w:rsidR="002D3C7F" w:rsidRDefault="002D3C7F" w:rsidP="002D3C7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CICC Qirong Fund in its Series C investment in Chehejia</w:t>
      </w:r>
    </w:p>
    <w:p w14:paraId="0DD427AC" w14:textId="77777777" w:rsidR="002D3C7F" w:rsidRDefault="002D3C7F" w:rsidP="002D3C7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IDG in its Series B investment in Xiaopeng Vehicle</w:t>
      </w:r>
    </w:p>
    <w:p w14:paraId="067BD0C9" w14:textId="77777777" w:rsidR="002D3C7F" w:rsidRDefault="002D3C7F" w:rsidP="002D3C7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IDG in its investment in Baianju</w:t>
      </w:r>
    </w:p>
    <w:p w14:paraId="4D883752" w14:textId="77777777" w:rsidR="002D3C7F" w:rsidRDefault="002D3C7F" w:rsidP="002D3C7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Temasek in its investment in VIPABC</w:t>
      </w:r>
    </w:p>
    <w:p w14:paraId="2FED6F15" w14:textId="77777777" w:rsidR="002D3C7F" w:rsidRDefault="002D3C7F" w:rsidP="002D3C7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Joy Capital in several of its private equity and venture capital portfolio investments</w:t>
      </w:r>
    </w:p>
    <w:p w14:paraId="6BE4D984" w14:textId="77777777" w:rsidR="002D3C7F" w:rsidRDefault="002D3C7F" w:rsidP="002D3C7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360 Enterprise Security in its pre-Series B and Series B financing</w:t>
      </w:r>
    </w:p>
    <w:p w14:paraId="69B6ED12" w14:textId="77777777" w:rsidR="002D3C7F" w:rsidRDefault="002D3C7F" w:rsidP="002D3C7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WuXi Pharmatech in its investment in Hygeia, a medical technology development company</w:t>
      </w:r>
    </w:p>
    <w:p w14:paraId="42BE971F" w14:textId="77777777" w:rsidR="002D3C7F" w:rsidRDefault="002D3C7F" w:rsidP="002D3C7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CGC Capital in its investment in Yimutian</w:t>
      </w:r>
    </w:p>
    <w:p w14:paraId="35BA4FD1" w14:textId="77777777" w:rsidR="002D3C7F" w:rsidRDefault="002D3C7F" w:rsidP="002D3C7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UNext Group Limited, a fast developing online payment service provider, in establishing its offshore structure and completing its series seed financing</w:t>
      </w:r>
    </w:p>
    <w:p w14:paraId="130EE516" w14:textId="77777777" w:rsidR="002D3C7F" w:rsidRDefault="002D3C7F" w:rsidP="002D3C7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a reputable battery manufacturer in its proposed privatization</w:t>
      </w:r>
    </w:p>
    <w:p w14:paraId="75CDAF0E" w14:textId="77777777" w:rsidR="002D3C7F" w:rsidRDefault="002D3C7F" w:rsidP="002D3C7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Jumei in its proposed privatization</w:t>
      </w:r>
    </w:p>
    <w:p w14:paraId="0E19E640" w14:textId="77777777" w:rsidR="002D3C7F" w:rsidRDefault="002D3C7F" w:rsidP="002D3C7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Represented BEA Bank and other related entities in establishing East Asia Qian Hai Securities in Qianhai, Shenzhen according to the Mainland and Hong Kong Closer Economic Partnership Arrangement</w:t>
      </w:r>
    </w:p>
    <w:p w14:paraId="37CC2DC0" w14:textId="77777777" w:rsidR="002D3C7F" w:rsidRDefault="002D3C7F" w:rsidP="002D3C7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Represent CICC Qiyuan and Qirong in several of their FoF investments</w:t>
      </w:r>
    </w:p>
    <w:p w14:paraId="08C6F7A6" w14:textId="77777777" w:rsidR="002D3C7F" w:rsidRDefault="002D3C7F" w:rsidP="002D3C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D3C7F">
        <w:rPr>
          <w:rFonts w:ascii="等线" w:eastAsia="等线" w:hAnsi="等线"/>
          <w:b/>
          <w:sz w:val="24"/>
        </w:rPr>
        <w:t>Education</w:t>
      </w:r>
    </w:p>
    <w:p w14:paraId="10D46A2E" w14:textId="77777777" w:rsidR="002D3C7F" w:rsidRDefault="002D3C7F" w:rsidP="002D3C7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Peking University, School of Law, J.M.</w:t>
      </w:r>
    </w:p>
    <w:p w14:paraId="461D6253" w14:textId="77777777" w:rsidR="002D3C7F" w:rsidRDefault="002D3C7F" w:rsidP="002D3C7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China University of Political Science and Law, School of Business, B.S. in Economics</w:t>
      </w:r>
    </w:p>
    <w:p w14:paraId="527E167F" w14:textId="77777777" w:rsidR="002D3C7F" w:rsidRDefault="002D3C7F" w:rsidP="002D3C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D3C7F">
        <w:rPr>
          <w:rFonts w:ascii="等线" w:eastAsia="等线" w:hAnsi="等线"/>
          <w:b/>
          <w:sz w:val="24"/>
        </w:rPr>
        <w:t>Professional Qualification</w:t>
      </w:r>
    </w:p>
    <w:p w14:paraId="7ECFBDB8" w14:textId="77777777" w:rsidR="002D3C7F" w:rsidRDefault="002D3C7F" w:rsidP="002D3C7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Admitted to practice in the PRC</w:t>
      </w:r>
    </w:p>
    <w:p w14:paraId="2FC942B0" w14:textId="77777777" w:rsidR="002D3C7F" w:rsidRDefault="002D3C7F" w:rsidP="002D3C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D3C7F">
        <w:rPr>
          <w:rFonts w:ascii="等线" w:eastAsia="等线" w:hAnsi="等线"/>
          <w:b/>
          <w:sz w:val="24"/>
        </w:rPr>
        <w:t>Professional Background</w:t>
      </w:r>
    </w:p>
    <w:p w14:paraId="5567FC3C" w14:textId="57101BA6" w:rsidR="00686369" w:rsidRPr="002D3C7F" w:rsidRDefault="002D3C7F" w:rsidP="002D3C7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D3C7F">
        <w:rPr>
          <w:rFonts w:ascii="等线" w:eastAsia="等线" w:hAnsi="Times New Roman"/>
          <w:color w:val="000000"/>
        </w:rPr>
        <w:t>Ms. Chen Feng joined Fangda in 2015.</w:t>
      </w:r>
    </w:p>
    <w:sectPr w:rsidR="00686369" w:rsidRPr="002D3C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6A94"/>
    <w:multiLevelType w:val="singleLevel"/>
    <w:tmpl w:val="6EC85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950DDA"/>
    <w:multiLevelType w:val="singleLevel"/>
    <w:tmpl w:val="2BE08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01447F"/>
    <w:multiLevelType w:val="singleLevel"/>
    <w:tmpl w:val="059CA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F96773"/>
    <w:multiLevelType w:val="singleLevel"/>
    <w:tmpl w:val="4002E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BE55EE"/>
    <w:multiLevelType w:val="singleLevel"/>
    <w:tmpl w:val="38267D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D327E5"/>
    <w:multiLevelType w:val="singleLevel"/>
    <w:tmpl w:val="1AD25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6B7091"/>
    <w:multiLevelType w:val="singleLevel"/>
    <w:tmpl w:val="BC361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866C48"/>
    <w:multiLevelType w:val="singleLevel"/>
    <w:tmpl w:val="D41E1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8D78BC"/>
    <w:multiLevelType w:val="singleLevel"/>
    <w:tmpl w:val="88CED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1B4AD0"/>
    <w:multiLevelType w:val="singleLevel"/>
    <w:tmpl w:val="E78A4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E90799"/>
    <w:multiLevelType w:val="singleLevel"/>
    <w:tmpl w:val="F418DE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9D2C4A"/>
    <w:multiLevelType w:val="singleLevel"/>
    <w:tmpl w:val="6DF4B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177406D"/>
    <w:multiLevelType w:val="singleLevel"/>
    <w:tmpl w:val="E9E0F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84E10A5"/>
    <w:multiLevelType w:val="singleLevel"/>
    <w:tmpl w:val="BBEE2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C479BB"/>
    <w:multiLevelType w:val="singleLevel"/>
    <w:tmpl w:val="2A822B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5074B7"/>
    <w:multiLevelType w:val="singleLevel"/>
    <w:tmpl w:val="47588E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E57373C"/>
    <w:multiLevelType w:val="singleLevel"/>
    <w:tmpl w:val="2B4662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C30F49"/>
    <w:multiLevelType w:val="singleLevel"/>
    <w:tmpl w:val="6518A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71076D"/>
    <w:multiLevelType w:val="singleLevel"/>
    <w:tmpl w:val="2BB663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3E52FCA"/>
    <w:multiLevelType w:val="singleLevel"/>
    <w:tmpl w:val="A2B6C5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6996308"/>
    <w:multiLevelType w:val="singleLevel"/>
    <w:tmpl w:val="462C5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B10C4A"/>
    <w:multiLevelType w:val="singleLevel"/>
    <w:tmpl w:val="17FA2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15659F3"/>
    <w:multiLevelType w:val="singleLevel"/>
    <w:tmpl w:val="C31CB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F825A9"/>
    <w:multiLevelType w:val="singleLevel"/>
    <w:tmpl w:val="27321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2F11075"/>
    <w:multiLevelType w:val="singleLevel"/>
    <w:tmpl w:val="4CE8B6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3224C20"/>
    <w:multiLevelType w:val="singleLevel"/>
    <w:tmpl w:val="4002E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6C31B19"/>
    <w:multiLevelType w:val="singleLevel"/>
    <w:tmpl w:val="5784D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7957F44"/>
    <w:multiLevelType w:val="singleLevel"/>
    <w:tmpl w:val="B7605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C0671C1"/>
    <w:multiLevelType w:val="singleLevel"/>
    <w:tmpl w:val="1CBA8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CF11D68"/>
    <w:multiLevelType w:val="singleLevel"/>
    <w:tmpl w:val="94E45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4720B79"/>
    <w:multiLevelType w:val="singleLevel"/>
    <w:tmpl w:val="41D02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28"/>
  </w:num>
  <w:num w:numId="4">
    <w:abstractNumId w:val="16"/>
  </w:num>
  <w:num w:numId="5">
    <w:abstractNumId w:val="29"/>
  </w:num>
  <w:num w:numId="6">
    <w:abstractNumId w:val="25"/>
  </w:num>
  <w:num w:numId="7">
    <w:abstractNumId w:val="23"/>
  </w:num>
  <w:num w:numId="8">
    <w:abstractNumId w:val="22"/>
  </w:num>
  <w:num w:numId="9">
    <w:abstractNumId w:val="18"/>
  </w:num>
  <w:num w:numId="10">
    <w:abstractNumId w:val="12"/>
  </w:num>
  <w:num w:numId="11">
    <w:abstractNumId w:val="6"/>
  </w:num>
  <w:num w:numId="12">
    <w:abstractNumId w:val="0"/>
  </w:num>
  <w:num w:numId="13">
    <w:abstractNumId w:val="1"/>
  </w:num>
  <w:num w:numId="14">
    <w:abstractNumId w:val="15"/>
  </w:num>
  <w:num w:numId="15">
    <w:abstractNumId w:val="7"/>
  </w:num>
  <w:num w:numId="16">
    <w:abstractNumId w:val="9"/>
  </w:num>
  <w:num w:numId="17">
    <w:abstractNumId w:val="31"/>
  </w:num>
  <w:num w:numId="18">
    <w:abstractNumId w:val="8"/>
  </w:num>
  <w:num w:numId="19">
    <w:abstractNumId w:val="2"/>
  </w:num>
  <w:num w:numId="20">
    <w:abstractNumId w:val="26"/>
  </w:num>
  <w:num w:numId="21">
    <w:abstractNumId w:val="5"/>
  </w:num>
  <w:num w:numId="22">
    <w:abstractNumId w:val="24"/>
  </w:num>
  <w:num w:numId="23">
    <w:abstractNumId w:val="32"/>
  </w:num>
  <w:num w:numId="24">
    <w:abstractNumId w:val="21"/>
  </w:num>
  <w:num w:numId="25">
    <w:abstractNumId w:val="19"/>
  </w:num>
  <w:num w:numId="26">
    <w:abstractNumId w:val="17"/>
  </w:num>
  <w:num w:numId="27">
    <w:abstractNumId w:val="20"/>
  </w:num>
  <w:num w:numId="28">
    <w:abstractNumId w:val="30"/>
  </w:num>
  <w:num w:numId="29">
    <w:abstractNumId w:val="4"/>
  </w:num>
  <w:num w:numId="30">
    <w:abstractNumId w:val="11"/>
  </w:num>
  <w:num w:numId="31">
    <w:abstractNumId w:val="14"/>
  </w:num>
  <w:num w:numId="32">
    <w:abstractNumId w:val="27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2D3C7F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D3C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D3C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EEC302-58C0-4EF3-94F6-9AC33A4CC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2026-06-24T04:58:00Z</dcterms:created>
  <dcterms:modified xsi:type="dcterms:W3CDTF">2026-06-24T04:58:00Z</dcterms:modified>
</cp:coreProperties>
</file>