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452FE2" w:rsidR="0049405C" w:rsidRPr="00C24D79" w:rsidRDefault="009A7E0E" w:rsidP="009A7E0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A7E0E">
              <w:rPr>
                <w:rFonts w:ascii="等线" w:eastAsia="等线" w:hAnsi="Times New Roman"/>
                <w:b/>
                <w:color w:val="000000"/>
                <w:sz w:val="48"/>
              </w:rPr>
              <w:t>ALICE PING</w:t>
            </w:r>
            <w:bookmarkEnd w:id="0"/>
          </w:p>
          <w:p w14:paraId="706EB16B" w14:textId="1C4AF940" w:rsidR="0049405C" w:rsidRPr="00C24D79" w:rsidRDefault="009A7E0E" w:rsidP="009A7E0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A7E0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A7E0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A7E0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348C161" w:rsidR="0049405C" w:rsidRPr="00C24D79" w:rsidRDefault="009A7E0E" w:rsidP="009A7E0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A7E0E">
              <w:rPr>
                <w:rFonts w:ascii="等线" w:eastAsia="等线" w:hAnsi="Times New Roman"/>
                <w:color w:val="000000"/>
              </w:rPr>
              <w:t xml:space="preserve">+86 21 2208 1154 </w:t>
            </w:r>
            <w:bookmarkEnd w:id="3"/>
          </w:p>
          <w:p w14:paraId="4F910ACA" w14:textId="192F5166" w:rsidR="0049405C" w:rsidRPr="00C24D79" w:rsidRDefault="009A7E0E" w:rsidP="009A7E0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A7E0E">
              <w:rPr>
                <w:rFonts w:ascii="等线" w:eastAsia="等线" w:hAnsi="Times New Roman"/>
                <w:color w:val="000000"/>
              </w:rPr>
              <w:t>alice.ping@fangdalaw.com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61A5F6" w:rsidR="0049405C" w:rsidRPr="00C24D79" w:rsidRDefault="009A7E0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28C893" wp14:editId="4002AB7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7528182" w:rsidR="009465FB" w:rsidRPr="00C24D79" w:rsidRDefault="009A7E0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A7E0E">
              <w:rPr>
                <w:rFonts w:ascii="等线" w:eastAsia="等线" w:hAnsi="Times New Roman"/>
                <w:color w:val="000000"/>
                <w:szCs w:val="21"/>
              </w:rPr>
              <w:t>ALICE PING SPECIALIZES IN PRIVATE EQUITY AND VENTURE CAPITAL INVESTMENT, CROSS-BORDER RESTRUCTURING,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964127" w14:textId="77777777" w:rsidR="009A7E0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001FAD" w14:textId="77777777" w:rsidR="009A7E0E" w:rsidRDefault="009A7E0E" w:rsidP="009A7E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A7E0E">
        <w:rPr>
          <w:rFonts w:ascii="等线" w:eastAsia="等线" w:hAnsi="等线"/>
          <w:b/>
          <w:sz w:val="24"/>
        </w:rPr>
        <w:t>REPRESENTATIVE MATTERS AND CASES</w:t>
      </w:r>
    </w:p>
    <w:p w14:paraId="6AE52CED" w14:textId="77777777" w:rsidR="009A7E0E" w:rsidRDefault="009A7E0E" w:rsidP="009A7E0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AA0406C" w14:textId="77777777" w:rsidR="009A7E0E" w:rsidRDefault="009A7E0E" w:rsidP="009A7E0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GGV Capital in its equity investments in enterprises such as MSENERGY, MegaRobo, CurrentCAD, Lanhu, Cloudbox, Today Camera, BUD APP and Blacklake and in its cross-border restructuring of target companies</w:t>
      </w:r>
    </w:p>
    <w:p w14:paraId="6462D9AD" w14:textId="77777777" w:rsidR="009A7E0E" w:rsidRDefault="009A7E0E" w:rsidP="009A7E0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Lilly Asia Ventures in its equity investment in a new drug R&amp;D enterprise</w:t>
      </w:r>
    </w:p>
    <w:p w14:paraId="0FE979EE" w14:textId="77777777" w:rsidR="009A7E0E" w:rsidRDefault="009A7E0E" w:rsidP="009A7E0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Amphastar Pharmaceuticals in its CMO and CRO matters</w:t>
      </w:r>
    </w:p>
    <w:p w14:paraId="29D6C882" w14:textId="77777777" w:rsidR="009A7E0E" w:rsidRDefault="009A7E0E" w:rsidP="009A7E0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 Japanese pharmaceutical R&amp;D company in its drug licensing matter</w:t>
      </w:r>
    </w:p>
    <w:p w14:paraId="3BD2D523" w14:textId="77777777" w:rsidR="009A7E0E" w:rsidRDefault="009A7E0E" w:rsidP="009A7E0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CDB Investment Fund in its equity investment in an AR product manufacturing and service company</w:t>
      </w:r>
    </w:p>
    <w:p w14:paraId="701242EF" w14:textId="77777777" w:rsidR="009A7E0E" w:rsidRDefault="009A7E0E" w:rsidP="009A7E0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Yunfeng Capital in its equity investment in Xingyun Group, Nreal and two enterprises in consumer-goods industry</w:t>
      </w:r>
    </w:p>
    <w:p w14:paraId="43C26210" w14:textId="77777777" w:rsidR="009A7E0E" w:rsidRDefault="009A7E0E" w:rsidP="009A7E0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Ant Financial in its equity investment in Hellobike and in its cross-border restructuring of Hellobike</w:t>
      </w:r>
    </w:p>
    <w:p w14:paraId="0732B072" w14:textId="77777777" w:rsidR="009A7E0E" w:rsidRDefault="009A7E0E" w:rsidP="009A7E0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6272D1E0" w14:textId="77777777" w:rsidR="009A7E0E" w:rsidRDefault="009A7E0E" w:rsidP="009A7E0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Ant Financial in its equity investment in E-INV, a subsidiary of an A-share listed company</w:t>
      </w:r>
    </w:p>
    <w:p w14:paraId="5F29873F" w14:textId="77777777" w:rsidR="009A7E0E" w:rsidRDefault="009A7E0E" w:rsidP="009A7E0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Alibaba in its investment in Carzone Auto Parts and in its cross-border restructuring of Carzone</w:t>
      </w:r>
    </w:p>
    <w:p w14:paraId="35CD068E" w14:textId="77777777" w:rsidR="009A7E0E" w:rsidRDefault="009A7E0E" w:rsidP="009A7E0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Sinopharm Capital in its equity investment in Virogin Biotech</w:t>
      </w:r>
    </w:p>
    <w:p w14:paraId="49C62B6B" w14:textId="77777777" w:rsidR="009A7E0E" w:rsidRDefault="009A7E0E" w:rsidP="009A7E0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Sinopharm Capital in its equity investment in Creative Biosciences</w:t>
      </w:r>
    </w:p>
    <w:p w14:paraId="0F4DE114" w14:textId="77777777" w:rsidR="009A7E0E" w:rsidRDefault="009A7E0E" w:rsidP="009A7E0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JAFCO in its equity investment in Palfish</w:t>
      </w:r>
    </w:p>
    <w:p w14:paraId="3774D183" w14:textId="77777777" w:rsidR="009A7E0E" w:rsidRDefault="009A7E0E" w:rsidP="009A7E0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AIF Capital in its equity investments in Aosheng Tech and in its cross-border restructuring of Aosheng</w:t>
      </w:r>
    </w:p>
    <w:p w14:paraId="10A5DF75" w14:textId="77777777" w:rsidR="009A7E0E" w:rsidRDefault="009A7E0E" w:rsidP="009A7E0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ClickPaas in its equity financing and its acquisition of Bplead</w:t>
      </w:r>
    </w:p>
    <w:p w14:paraId="27F7228F" w14:textId="77777777" w:rsidR="009A7E0E" w:rsidRDefault="009A7E0E" w:rsidP="009A7E0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MitrAssist in its equity financing and post-closing matters</w:t>
      </w:r>
    </w:p>
    <w:p w14:paraId="671AE586" w14:textId="77777777" w:rsidR="009A7E0E" w:rsidRDefault="009A7E0E" w:rsidP="009A7E0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Panda ABC in its equity financing</w:t>
      </w:r>
    </w:p>
    <w:p w14:paraId="43572865" w14:textId="77777777" w:rsidR="009A7E0E" w:rsidRDefault="009A7E0E" w:rsidP="009A7E0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Laifu Harmonic Machinery in its equity financings</w:t>
      </w:r>
    </w:p>
    <w:p w14:paraId="5AF0C9FF" w14:textId="77777777" w:rsidR="009A7E0E" w:rsidRDefault="009A7E0E" w:rsidP="009A7E0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an enterprise in fashion industry in its red-chip restructuring</w:t>
      </w:r>
    </w:p>
    <w:p w14:paraId="0DC3C7A6" w14:textId="77777777" w:rsidR="009A7E0E" w:rsidRDefault="009A7E0E" w:rsidP="009A7E0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Sodexo group in its acquisition of two catering service enterprises in China and a medical equipment management service enterprise in China</w:t>
      </w:r>
    </w:p>
    <w:p w14:paraId="4E2DB7F5" w14:textId="77777777" w:rsidR="009A7E0E" w:rsidRDefault="009A7E0E" w:rsidP="009A7E0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Sodexo group in its strategic investment in Meican</w:t>
      </w:r>
    </w:p>
    <w:p w14:paraId="58BAE1C4" w14:textId="77777777" w:rsidR="009A7E0E" w:rsidRDefault="009A7E0E" w:rsidP="009A7E0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City Development Limited in its acquisition of Chongqing Sincere</w:t>
      </w:r>
    </w:p>
    <w:p w14:paraId="1D34BE3E" w14:textId="77777777" w:rsidR="009A7E0E" w:rsidRDefault="009A7E0E" w:rsidP="009A7E0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Represented Bunzl Plc in its acquisition of a Chinese enterprise distributing personal protection equipment</w:t>
      </w:r>
    </w:p>
    <w:p w14:paraId="1943A4DF" w14:textId="77777777" w:rsidR="009A7E0E" w:rsidRDefault="009A7E0E" w:rsidP="009A7E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A7E0E">
        <w:rPr>
          <w:rFonts w:ascii="等线" w:eastAsia="等线" w:hAnsi="等线"/>
          <w:b/>
          <w:sz w:val="24"/>
        </w:rPr>
        <w:t>Education</w:t>
      </w:r>
    </w:p>
    <w:p w14:paraId="6E1E6D30" w14:textId="77777777" w:rsidR="009A7E0E" w:rsidRDefault="009A7E0E" w:rsidP="009A7E0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East China University of Political Science and Law, LL.M.</w:t>
      </w:r>
    </w:p>
    <w:p w14:paraId="384DB3F0" w14:textId="77777777" w:rsidR="009A7E0E" w:rsidRDefault="009A7E0E" w:rsidP="009A7E0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East China University of Political Science and Law, LL.B.</w:t>
      </w:r>
    </w:p>
    <w:p w14:paraId="54634D3A" w14:textId="77777777" w:rsidR="009A7E0E" w:rsidRDefault="009A7E0E" w:rsidP="009A7E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A7E0E">
        <w:rPr>
          <w:rFonts w:ascii="等线" w:eastAsia="等线" w:hAnsi="等线"/>
          <w:b/>
          <w:sz w:val="24"/>
        </w:rPr>
        <w:t>Professional Qualification</w:t>
      </w:r>
    </w:p>
    <w:p w14:paraId="3A0E7B23" w14:textId="77777777" w:rsidR="009A7E0E" w:rsidRDefault="009A7E0E" w:rsidP="009A7E0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Admitted to practice in the PRC</w:t>
      </w:r>
    </w:p>
    <w:p w14:paraId="6EDFD6E6" w14:textId="77777777" w:rsidR="009A7E0E" w:rsidRDefault="009A7E0E" w:rsidP="009A7E0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Admitted to practice in the State of California</w:t>
      </w:r>
    </w:p>
    <w:p w14:paraId="18107367" w14:textId="77777777" w:rsidR="009A7E0E" w:rsidRDefault="009A7E0E" w:rsidP="009A7E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A7E0E">
        <w:rPr>
          <w:rFonts w:ascii="等线" w:eastAsia="等线" w:hAnsi="等线"/>
          <w:b/>
          <w:sz w:val="24"/>
        </w:rPr>
        <w:t>Professional Background</w:t>
      </w:r>
    </w:p>
    <w:p w14:paraId="5567FC3C" w14:textId="4A27EF97" w:rsidR="00686369" w:rsidRPr="009A7E0E" w:rsidRDefault="009A7E0E" w:rsidP="009A7E0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A7E0E">
        <w:rPr>
          <w:rFonts w:ascii="等线" w:eastAsia="等线" w:hAnsi="Times New Roman"/>
          <w:color w:val="000000"/>
        </w:rPr>
        <w:t>Alice Ping joined Fangda Partners in 2015.</w:t>
      </w:r>
    </w:p>
    <w:sectPr w:rsidR="00686369" w:rsidRPr="009A7E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488F"/>
    <w:multiLevelType w:val="singleLevel"/>
    <w:tmpl w:val="58B81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A41B78"/>
    <w:multiLevelType w:val="singleLevel"/>
    <w:tmpl w:val="EBF22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912E7F"/>
    <w:multiLevelType w:val="singleLevel"/>
    <w:tmpl w:val="7E588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B50326"/>
    <w:multiLevelType w:val="singleLevel"/>
    <w:tmpl w:val="B880B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D67DC6"/>
    <w:multiLevelType w:val="singleLevel"/>
    <w:tmpl w:val="5192E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D65226"/>
    <w:multiLevelType w:val="singleLevel"/>
    <w:tmpl w:val="0CB24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4B0086"/>
    <w:multiLevelType w:val="singleLevel"/>
    <w:tmpl w:val="597EA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625A9D"/>
    <w:multiLevelType w:val="singleLevel"/>
    <w:tmpl w:val="862CA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9751EE"/>
    <w:multiLevelType w:val="singleLevel"/>
    <w:tmpl w:val="A8684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3D09B6"/>
    <w:multiLevelType w:val="singleLevel"/>
    <w:tmpl w:val="0C4AF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43C26E7"/>
    <w:multiLevelType w:val="singleLevel"/>
    <w:tmpl w:val="FA728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1593D36"/>
    <w:multiLevelType w:val="singleLevel"/>
    <w:tmpl w:val="5E9CF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8053434"/>
    <w:multiLevelType w:val="singleLevel"/>
    <w:tmpl w:val="C7B28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8E06A4B"/>
    <w:multiLevelType w:val="singleLevel"/>
    <w:tmpl w:val="C3CC1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C929A1"/>
    <w:multiLevelType w:val="singleLevel"/>
    <w:tmpl w:val="96C0C8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0D6260"/>
    <w:multiLevelType w:val="singleLevel"/>
    <w:tmpl w:val="0FF0AE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467EF9"/>
    <w:multiLevelType w:val="singleLevel"/>
    <w:tmpl w:val="1D1C1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AC29D5"/>
    <w:multiLevelType w:val="singleLevel"/>
    <w:tmpl w:val="7F3C8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43A6DBE"/>
    <w:multiLevelType w:val="singleLevel"/>
    <w:tmpl w:val="E49CEE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130D16"/>
    <w:multiLevelType w:val="singleLevel"/>
    <w:tmpl w:val="4E2A0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9155CE"/>
    <w:multiLevelType w:val="singleLevel"/>
    <w:tmpl w:val="C14030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BCB14B5"/>
    <w:multiLevelType w:val="singleLevel"/>
    <w:tmpl w:val="D960F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24184D"/>
    <w:multiLevelType w:val="singleLevel"/>
    <w:tmpl w:val="FEAA7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490974"/>
    <w:multiLevelType w:val="singleLevel"/>
    <w:tmpl w:val="B98E1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1558E7"/>
    <w:multiLevelType w:val="singleLevel"/>
    <w:tmpl w:val="F23C7D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BA6F57"/>
    <w:multiLevelType w:val="singleLevel"/>
    <w:tmpl w:val="3C2A8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9B24FE"/>
    <w:multiLevelType w:val="singleLevel"/>
    <w:tmpl w:val="557CD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DA32758"/>
    <w:multiLevelType w:val="singleLevel"/>
    <w:tmpl w:val="F23C7D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E090573"/>
    <w:multiLevelType w:val="singleLevel"/>
    <w:tmpl w:val="67EE6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11"/>
  </w:num>
  <w:num w:numId="5">
    <w:abstractNumId w:val="23"/>
  </w:num>
  <w:num w:numId="6">
    <w:abstractNumId w:val="16"/>
  </w:num>
  <w:num w:numId="7">
    <w:abstractNumId w:val="14"/>
  </w:num>
  <w:num w:numId="8">
    <w:abstractNumId w:val="28"/>
  </w:num>
  <w:num w:numId="9">
    <w:abstractNumId w:val="20"/>
  </w:num>
  <w:num w:numId="10">
    <w:abstractNumId w:val="5"/>
  </w:num>
  <w:num w:numId="11">
    <w:abstractNumId w:val="7"/>
  </w:num>
  <w:num w:numId="12">
    <w:abstractNumId w:val="15"/>
  </w:num>
  <w:num w:numId="13">
    <w:abstractNumId w:val="25"/>
  </w:num>
  <w:num w:numId="14">
    <w:abstractNumId w:val="27"/>
  </w:num>
  <w:num w:numId="15">
    <w:abstractNumId w:val="18"/>
  </w:num>
  <w:num w:numId="16">
    <w:abstractNumId w:val="21"/>
  </w:num>
  <w:num w:numId="17">
    <w:abstractNumId w:val="24"/>
  </w:num>
  <w:num w:numId="18">
    <w:abstractNumId w:val="3"/>
  </w:num>
  <w:num w:numId="19">
    <w:abstractNumId w:val="2"/>
  </w:num>
  <w:num w:numId="20">
    <w:abstractNumId w:val="17"/>
  </w:num>
  <w:num w:numId="21">
    <w:abstractNumId w:val="4"/>
  </w:num>
  <w:num w:numId="22">
    <w:abstractNumId w:val="30"/>
  </w:num>
  <w:num w:numId="23">
    <w:abstractNumId w:val="22"/>
  </w:num>
  <w:num w:numId="24">
    <w:abstractNumId w:val="9"/>
  </w:num>
  <w:num w:numId="25">
    <w:abstractNumId w:val="19"/>
  </w:num>
  <w:num w:numId="26">
    <w:abstractNumId w:val="1"/>
  </w:num>
  <w:num w:numId="27">
    <w:abstractNumId w:val="13"/>
  </w:num>
  <w:num w:numId="28">
    <w:abstractNumId w:val="0"/>
  </w:num>
  <w:num w:numId="29">
    <w:abstractNumId w:val="6"/>
  </w:num>
  <w:num w:numId="30">
    <w:abstractNumId w:val="29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A7E0E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A7E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A7E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4D3EE8-FCC2-49C5-AEDA-750710C4B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2026-06-24T05:59:00Z</dcterms:created>
  <dcterms:modified xsi:type="dcterms:W3CDTF">2026-06-24T05:59:00Z</dcterms:modified>
</cp:coreProperties>
</file>