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CC0BA3B" w:rsidR="0049405C" w:rsidRPr="00C24D79" w:rsidRDefault="004C363A" w:rsidP="004C363A">
            <w:pPr>
              <w:spacing w:line="720" w:lineRule="auto"/>
              <w:rPr>
                <w:rFonts w:eastAsiaTheme="minorHAnsi"/>
                <w:color w:val="545551"/>
              </w:rPr>
            </w:pPr>
            <w:bookmarkStart w:id="0" w:name="xingming"/>
            <w:bookmarkStart w:id="1" w:name="_GoBack"/>
            <w:bookmarkEnd w:id="1"/>
            <w:r w:rsidRPr="004C363A">
              <w:rPr>
                <w:rFonts w:ascii="等线" w:eastAsia="等线" w:hAnsi="Times New Roman"/>
                <w:b/>
                <w:color w:val="000000"/>
                <w:sz w:val="48"/>
              </w:rPr>
              <w:t>NAPOLEON ZHAO</w:t>
            </w:r>
            <w:bookmarkEnd w:id="0"/>
          </w:p>
          <w:p w14:paraId="706EB16B" w14:textId="78B5302A" w:rsidR="0049405C" w:rsidRPr="00C24D79" w:rsidRDefault="004C363A" w:rsidP="004C363A">
            <w:pPr>
              <w:spacing w:line="360" w:lineRule="auto"/>
              <w:rPr>
                <w:rFonts w:eastAsiaTheme="minorHAnsi"/>
                <w:b/>
                <w:bCs/>
                <w:color w:val="545551"/>
              </w:rPr>
            </w:pPr>
            <w:bookmarkStart w:id="2" w:name="didian"/>
            <w:r w:rsidRPr="004C363A">
              <w:rPr>
                <w:rFonts w:ascii="等线" w:eastAsia="等线" w:hAnsi="Times New Roman"/>
                <w:b/>
                <w:bCs/>
                <w:color w:val="000000"/>
              </w:rPr>
              <w:t>Counsel</w:t>
            </w:r>
            <w:r w:rsidRPr="004C363A">
              <w:rPr>
                <w:rFonts w:ascii="等线" w:eastAsia="等线" w:hAnsi="Times New Roman"/>
                <w:b/>
                <w:bCs/>
                <w:color w:val="000000"/>
              </w:rPr>
              <w:t>·</w:t>
            </w:r>
            <w:r w:rsidRPr="004C363A">
              <w:rPr>
                <w:rFonts w:ascii="等线" w:eastAsia="等线" w:hAnsi="Times New Roman"/>
                <w:b/>
                <w:bCs/>
                <w:color w:val="000000"/>
              </w:rPr>
              <w:t>Shenzhen</w:t>
            </w:r>
            <w:bookmarkEnd w:id="2"/>
          </w:p>
          <w:p w14:paraId="6199424A" w14:textId="5A05A714" w:rsidR="0049405C" w:rsidRPr="00C24D79" w:rsidRDefault="004C363A" w:rsidP="004C363A">
            <w:pPr>
              <w:spacing w:line="360" w:lineRule="auto"/>
              <w:rPr>
                <w:rFonts w:eastAsiaTheme="minorHAnsi"/>
                <w:color w:val="545551"/>
              </w:rPr>
            </w:pPr>
            <w:bookmarkStart w:id="3" w:name="dianhua"/>
            <w:r w:rsidRPr="004C363A">
              <w:rPr>
                <w:rFonts w:ascii="等线" w:eastAsia="等线" w:hAnsi="Times New Roman"/>
                <w:color w:val="000000"/>
              </w:rPr>
              <w:t xml:space="preserve">+86 755 8159 3930 </w:t>
            </w:r>
            <w:bookmarkEnd w:id="3"/>
          </w:p>
          <w:p w14:paraId="4F910ACA" w14:textId="25E792CB" w:rsidR="0049405C" w:rsidRPr="00C24D79" w:rsidRDefault="004C363A" w:rsidP="004C363A">
            <w:pPr>
              <w:spacing w:line="360" w:lineRule="auto"/>
              <w:rPr>
                <w:rFonts w:eastAsiaTheme="minorHAnsi"/>
                <w:color w:val="000000"/>
              </w:rPr>
            </w:pPr>
            <w:bookmarkStart w:id="4" w:name="youxiang"/>
            <w:r w:rsidRPr="004C363A">
              <w:rPr>
                <w:rFonts w:ascii="等线" w:eastAsia="等线" w:hAnsi="Times New Roman"/>
                <w:color w:val="000000"/>
              </w:rPr>
              <w:t>xiao.zhao@fangdalaw.com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F964FDF" w:rsidR="0049405C" w:rsidRPr="00C24D79" w:rsidRDefault="004C363A"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482EA10" wp14:editId="6B56404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FF73822" w:rsidR="009465FB" w:rsidRPr="00C24D79" w:rsidRDefault="004C363A" w:rsidP="007177F3">
            <w:pPr>
              <w:rPr>
                <w:rFonts w:eastAsiaTheme="minorHAnsi"/>
                <w:color w:val="000000"/>
                <w:szCs w:val="21"/>
              </w:rPr>
            </w:pPr>
            <w:bookmarkStart w:id="6" w:name="zhiyelingyu"/>
            <w:r w:rsidRPr="004C363A">
              <w:rPr>
                <w:rFonts w:ascii="等线" w:eastAsia="等线" w:hAnsi="Times New Roman"/>
                <w:color w:val="000000"/>
                <w:szCs w:val="21"/>
              </w:rPr>
              <w:t>NAPOLEON ZHAO SPECIALIZES IN FOREIGN DIRECT INVESTMENT, CROSS-BORDER INVESTMENT, FINANCING, CAPITAL MARKETS, CORPORATE RESTRUCTURING AND M&amp;A.</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01A3DA9" w14:textId="77777777" w:rsidR="004C363A"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908E7B4" w14:textId="77777777" w:rsidR="004C363A" w:rsidRDefault="004C363A" w:rsidP="004C363A">
      <w:pPr>
        <w:pStyle w:val="af5"/>
        <w:spacing w:after="0" w:line="480" w:lineRule="auto"/>
        <w:rPr>
          <w:rFonts w:ascii="等线" w:eastAsia="等线" w:hAnsi="等线"/>
          <w:b/>
          <w:sz w:val="24"/>
        </w:rPr>
      </w:pPr>
      <w:r w:rsidRPr="004C363A">
        <w:rPr>
          <w:rFonts w:ascii="等线" w:eastAsia="等线" w:hAnsi="等线"/>
          <w:b/>
          <w:sz w:val="24"/>
        </w:rPr>
        <w:t>REPRESENTATIVE MATTERS AND CASES</w:t>
      </w:r>
    </w:p>
    <w:p w14:paraId="701AEC25" w14:textId="77777777" w:rsidR="004C363A" w:rsidRDefault="004C363A" w:rsidP="004C363A">
      <w:pPr>
        <w:pStyle w:val="af5"/>
        <w:spacing w:before="120"/>
        <w:rPr>
          <w:rFonts w:ascii="等线" w:eastAsia="等线" w:hAnsi="Times New Roman"/>
          <w:color w:val="000000"/>
        </w:rPr>
      </w:pPr>
    </w:p>
    <w:p w14:paraId="12620CCC" w14:textId="77777777" w:rsidR="004C363A" w:rsidRDefault="004C363A" w:rsidP="004C363A">
      <w:pPr>
        <w:pStyle w:val="af5"/>
        <w:numPr>
          <w:ilvl w:val="0"/>
          <w:numId w:val="4"/>
        </w:numPr>
        <w:spacing w:before="120"/>
        <w:ind w:left="690" w:hanging="240"/>
        <w:rPr>
          <w:rFonts w:ascii="等线" w:eastAsia="等线" w:hAnsi="Times New Roman"/>
          <w:color w:val="000000"/>
        </w:rPr>
      </w:pPr>
      <w:r w:rsidRPr="004C363A">
        <w:rPr>
          <w:rFonts w:ascii="等线" w:eastAsia="等线" w:hAnsi="Times New Roman"/>
          <w:color w:val="000000"/>
        </w:rPr>
        <w:t>Representing Alibaba in its investments in Meizu Technology</w:t>
      </w:r>
    </w:p>
    <w:p w14:paraId="7948DBC2" w14:textId="77777777" w:rsidR="004C363A" w:rsidRDefault="004C363A" w:rsidP="004C363A">
      <w:pPr>
        <w:pStyle w:val="af5"/>
        <w:numPr>
          <w:ilvl w:val="0"/>
          <w:numId w:val="5"/>
        </w:numPr>
        <w:spacing w:before="120"/>
        <w:ind w:left="690" w:hanging="240"/>
        <w:rPr>
          <w:rFonts w:ascii="等线" w:eastAsia="等线" w:hAnsi="Times New Roman"/>
          <w:color w:val="000000"/>
        </w:rPr>
      </w:pPr>
      <w:r w:rsidRPr="004C363A">
        <w:rPr>
          <w:rFonts w:ascii="等线" w:eastAsia="等线" w:hAnsi="Times New Roman"/>
          <w:color w:val="000000"/>
        </w:rPr>
        <w:t>Representing FountainVest in its investments in Fangduoduo</w:t>
      </w:r>
    </w:p>
    <w:p w14:paraId="2659A2D7" w14:textId="77777777" w:rsidR="004C363A" w:rsidRDefault="004C363A" w:rsidP="004C363A">
      <w:pPr>
        <w:pStyle w:val="af5"/>
        <w:numPr>
          <w:ilvl w:val="0"/>
          <w:numId w:val="6"/>
        </w:numPr>
        <w:spacing w:before="120"/>
        <w:ind w:left="690" w:hanging="240"/>
        <w:rPr>
          <w:rFonts w:ascii="等线" w:eastAsia="等线" w:hAnsi="Times New Roman"/>
          <w:color w:val="000000"/>
        </w:rPr>
      </w:pPr>
      <w:r w:rsidRPr="004C363A">
        <w:rPr>
          <w:rFonts w:ascii="等线" w:eastAsia="等线" w:hAnsi="Times New Roman"/>
          <w:color w:val="000000"/>
        </w:rPr>
        <w:t>Representing China Capital Investment Group in its RMB 150 million investment in UV-CHEMTECH, a nation-leading provider of integrated solutions for environmental coatings</w:t>
      </w:r>
    </w:p>
    <w:p w14:paraId="0C57CDA8" w14:textId="77777777" w:rsidR="004C363A" w:rsidRDefault="004C363A" w:rsidP="004C363A">
      <w:pPr>
        <w:pStyle w:val="af5"/>
        <w:numPr>
          <w:ilvl w:val="0"/>
          <w:numId w:val="7"/>
        </w:numPr>
        <w:spacing w:before="120"/>
        <w:ind w:left="690" w:hanging="240"/>
        <w:rPr>
          <w:rFonts w:ascii="等线" w:eastAsia="等线" w:hAnsi="Times New Roman"/>
          <w:color w:val="000000"/>
        </w:rPr>
      </w:pPr>
      <w:r w:rsidRPr="004C363A">
        <w:rPr>
          <w:rFonts w:ascii="等线" w:eastAsia="等线" w:hAnsi="Times New Roman"/>
          <w:color w:val="000000"/>
        </w:rPr>
        <w:t>Representing PAG in its investments in Dashboard Company</w:t>
      </w:r>
    </w:p>
    <w:p w14:paraId="7F747461" w14:textId="77777777" w:rsidR="004C363A" w:rsidRDefault="004C363A" w:rsidP="004C363A">
      <w:pPr>
        <w:pStyle w:val="af5"/>
        <w:numPr>
          <w:ilvl w:val="0"/>
          <w:numId w:val="8"/>
        </w:numPr>
        <w:spacing w:before="120"/>
        <w:ind w:left="690" w:hanging="240"/>
        <w:rPr>
          <w:rFonts w:ascii="等线" w:eastAsia="等线" w:hAnsi="Times New Roman"/>
          <w:color w:val="000000"/>
        </w:rPr>
      </w:pPr>
      <w:r w:rsidRPr="004C363A">
        <w:rPr>
          <w:rFonts w:ascii="等线" w:eastAsia="等线" w:hAnsi="Times New Roman"/>
          <w:color w:val="000000"/>
        </w:rPr>
        <w:t>Representing a Hong Kong listed company in its potential contribution of Huizhou industrial property to a real estate development cooperation and in the conversion of the industrial property into residential and commercial property by way of urban renewal and reconstruction</w:t>
      </w:r>
    </w:p>
    <w:p w14:paraId="03E47860" w14:textId="77777777" w:rsidR="004C363A" w:rsidRDefault="004C363A" w:rsidP="004C363A">
      <w:pPr>
        <w:pStyle w:val="af5"/>
        <w:numPr>
          <w:ilvl w:val="0"/>
          <w:numId w:val="9"/>
        </w:numPr>
        <w:spacing w:before="120"/>
        <w:ind w:left="690" w:hanging="240"/>
        <w:rPr>
          <w:rFonts w:ascii="等线" w:eastAsia="等线" w:hAnsi="Times New Roman"/>
          <w:color w:val="000000"/>
        </w:rPr>
      </w:pPr>
      <w:r w:rsidRPr="004C363A">
        <w:rPr>
          <w:rFonts w:ascii="等线" w:eastAsia="等线" w:hAnsi="Times New Roman"/>
          <w:color w:val="000000"/>
        </w:rPr>
        <w:t>Represented CLSA, as sole global coordinator and sponsor, in the IPO and Hong Kong Stock Exchange listing of Nameson Holdings Limited</w:t>
      </w:r>
    </w:p>
    <w:p w14:paraId="2640E8E5" w14:textId="77777777" w:rsidR="004C363A" w:rsidRDefault="004C363A" w:rsidP="004C363A">
      <w:pPr>
        <w:pStyle w:val="af5"/>
        <w:numPr>
          <w:ilvl w:val="0"/>
          <w:numId w:val="10"/>
        </w:numPr>
        <w:spacing w:before="120"/>
        <w:ind w:left="690" w:hanging="240"/>
        <w:rPr>
          <w:rFonts w:ascii="等线" w:eastAsia="等线" w:hAnsi="Times New Roman"/>
          <w:color w:val="000000"/>
        </w:rPr>
      </w:pPr>
      <w:r w:rsidRPr="004C363A">
        <w:rPr>
          <w:rFonts w:ascii="等线" w:eastAsia="等线" w:hAnsi="Times New Roman"/>
          <w:color w:val="000000"/>
        </w:rPr>
        <w:t>Represented Shenzhen YHGlobal Supply Chain Co. LTD., a leading global enterprise in logistics supply chain coordination in its RMB 1.2 billion series A financing, with a total valuation over USD 1 billion</w:t>
      </w:r>
    </w:p>
    <w:p w14:paraId="1AAFEF7D" w14:textId="77777777" w:rsidR="004C363A" w:rsidRDefault="004C363A" w:rsidP="004C363A">
      <w:pPr>
        <w:pStyle w:val="af5"/>
        <w:numPr>
          <w:ilvl w:val="0"/>
          <w:numId w:val="11"/>
        </w:numPr>
        <w:spacing w:before="120"/>
        <w:ind w:left="690" w:hanging="240"/>
        <w:rPr>
          <w:rFonts w:ascii="等线" w:eastAsia="等线" w:hAnsi="Times New Roman"/>
          <w:color w:val="000000"/>
        </w:rPr>
      </w:pPr>
      <w:r w:rsidRPr="004C363A">
        <w:rPr>
          <w:rFonts w:ascii="等线" w:eastAsia="等线" w:hAnsi="Times New Roman"/>
          <w:color w:val="000000"/>
        </w:rPr>
        <w:t>Represented Shunwei Capital in its RMB 140 million investment in Shenzhen Goove Technology Co., Ltd, an intelligent household products service provider</w:t>
      </w:r>
    </w:p>
    <w:p w14:paraId="4337E000" w14:textId="77777777" w:rsidR="004C363A" w:rsidRDefault="004C363A" w:rsidP="004C363A">
      <w:pPr>
        <w:pStyle w:val="af5"/>
        <w:numPr>
          <w:ilvl w:val="0"/>
          <w:numId w:val="12"/>
        </w:numPr>
        <w:spacing w:before="120"/>
        <w:ind w:left="690" w:hanging="240"/>
        <w:rPr>
          <w:rFonts w:ascii="等线" w:eastAsia="等线" w:hAnsi="Times New Roman"/>
          <w:color w:val="000000"/>
        </w:rPr>
      </w:pPr>
      <w:r w:rsidRPr="004C363A">
        <w:rPr>
          <w:rFonts w:ascii="等线" w:eastAsia="等线" w:hAnsi="Times New Roman"/>
          <w:color w:val="000000"/>
        </w:rPr>
        <w:t>Represented Fussen Technology, the operator of DentaLink platform, in its RMB 431 million Series C financing from Sequoia Capital, Pingan Health, Qianhai FOF, CICC and other co-investors</w:t>
      </w:r>
    </w:p>
    <w:p w14:paraId="189EB628" w14:textId="77777777" w:rsidR="004C363A" w:rsidRDefault="004C363A" w:rsidP="004C363A">
      <w:pPr>
        <w:pStyle w:val="af5"/>
        <w:numPr>
          <w:ilvl w:val="0"/>
          <w:numId w:val="13"/>
        </w:numPr>
        <w:spacing w:before="120"/>
        <w:ind w:left="690" w:hanging="240"/>
        <w:rPr>
          <w:rFonts w:ascii="等线" w:eastAsia="等线" w:hAnsi="Times New Roman"/>
          <w:color w:val="000000"/>
        </w:rPr>
      </w:pPr>
      <w:r w:rsidRPr="004C363A">
        <w:rPr>
          <w:rFonts w:ascii="等线" w:eastAsia="等线" w:hAnsi="Times New Roman"/>
          <w:color w:val="000000"/>
        </w:rPr>
        <w:t>Represented Fussen Technology, the operator of DentaLink platform, in its RMB 431 million Series C financing from Sequoia Capital, Pingan Health, Qianhai FOF, CICC and other co-investors</w:t>
      </w:r>
    </w:p>
    <w:p w14:paraId="04FD3876" w14:textId="77777777" w:rsidR="004C363A" w:rsidRDefault="004C363A" w:rsidP="004C363A">
      <w:pPr>
        <w:pStyle w:val="af5"/>
        <w:numPr>
          <w:ilvl w:val="0"/>
          <w:numId w:val="14"/>
        </w:numPr>
        <w:spacing w:before="120"/>
        <w:ind w:left="690" w:hanging="240"/>
        <w:rPr>
          <w:rFonts w:ascii="等线" w:eastAsia="等线" w:hAnsi="Times New Roman"/>
          <w:color w:val="000000"/>
        </w:rPr>
      </w:pPr>
      <w:r w:rsidRPr="004C363A">
        <w:rPr>
          <w:rFonts w:ascii="等线" w:eastAsia="等线" w:hAnsi="Times New Roman"/>
          <w:color w:val="000000"/>
        </w:rPr>
        <w:t>Represented a leading global aluminum foil company in its IPO and listing on the Hong Kong Stock Exchange</w:t>
      </w:r>
    </w:p>
    <w:p w14:paraId="06E3907D" w14:textId="77777777" w:rsidR="004C363A" w:rsidRDefault="004C363A" w:rsidP="004C363A">
      <w:pPr>
        <w:pStyle w:val="af5"/>
        <w:numPr>
          <w:ilvl w:val="0"/>
          <w:numId w:val="15"/>
        </w:numPr>
        <w:spacing w:before="120"/>
        <w:ind w:left="690" w:hanging="240"/>
        <w:rPr>
          <w:rFonts w:ascii="等线" w:eastAsia="等线" w:hAnsi="Times New Roman"/>
          <w:color w:val="000000"/>
        </w:rPr>
      </w:pPr>
      <w:r w:rsidRPr="004C363A">
        <w:rPr>
          <w:rFonts w:ascii="等线" w:eastAsia="等线" w:hAnsi="Times New Roman"/>
          <w:color w:val="000000"/>
        </w:rPr>
        <w:t>Represented TL NATURAL GAS, a leading CNG supplier in central China, in its HKD 60 million IPO and listing on the Hong Kong Stock Exchange</w:t>
      </w:r>
    </w:p>
    <w:p w14:paraId="029E85F4" w14:textId="77777777" w:rsidR="004C363A" w:rsidRDefault="004C363A" w:rsidP="004C363A">
      <w:pPr>
        <w:pStyle w:val="af5"/>
        <w:numPr>
          <w:ilvl w:val="0"/>
          <w:numId w:val="16"/>
        </w:numPr>
        <w:spacing w:before="120"/>
        <w:ind w:left="690" w:hanging="240"/>
        <w:rPr>
          <w:rFonts w:ascii="等线" w:eastAsia="等线" w:hAnsi="Times New Roman"/>
          <w:color w:val="000000"/>
        </w:rPr>
      </w:pPr>
      <w:r w:rsidRPr="004C363A">
        <w:rPr>
          <w:rFonts w:ascii="等线" w:eastAsia="等线" w:hAnsi="Times New Roman"/>
          <w:color w:val="000000"/>
        </w:rPr>
        <w:t>Represented Aztech Global, a Singapore-based IoT device and data-communication product supplier, in its USD 300 million IPO and listing on the Singapore Exchange Limited</w:t>
      </w:r>
    </w:p>
    <w:p w14:paraId="3095969C" w14:textId="77777777" w:rsidR="004C363A" w:rsidRDefault="004C363A" w:rsidP="004C363A">
      <w:pPr>
        <w:pStyle w:val="af5"/>
        <w:numPr>
          <w:ilvl w:val="0"/>
          <w:numId w:val="17"/>
        </w:numPr>
        <w:spacing w:before="120"/>
        <w:ind w:left="690" w:hanging="240"/>
        <w:rPr>
          <w:rFonts w:ascii="等线" w:eastAsia="等线" w:hAnsi="Times New Roman"/>
          <w:color w:val="000000"/>
        </w:rPr>
      </w:pPr>
      <w:r w:rsidRPr="004C363A">
        <w:rPr>
          <w:rFonts w:ascii="等线" w:eastAsia="等线" w:hAnsi="Times New Roman"/>
          <w:color w:val="000000"/>
        </w:rPr>
        <w:t>Represented a leading electronics corporation in southern China in its IPO and listing on the Hong Kong Stock Exchange</w:t>
      </w:r>
    </w:p>
    <w:p w14:paraId="5FE57A4B" w14:textId="77777777" w:rsidR="004C363A" w:rsidRDefault="004C363A" w:rsidP="004C363A">
      <w:pPr>
        <w:pStyle w:val="af5"/>
        <w:numPr>
          <w:ilvl w:val="0"/>
          <w:numId w:val="18"/>
        </w:numPr>
        <w:spacing w:before="120"/>
        <w:ind w:left="690" w:hanging="240"/>
        <w:rPr>
          <w:rFonts w:ascii="等线" w:eastAsia="等线" w:hAnsi="Times New Roman"/>
          <w:color w:val="000000"/>
        </w:rPr>
      </w:pPr>
      <w:r w:rsidRPr="004C363A">
        <w:rPr>
          <w:rFonts w:ascii="等线" w:eastAsia="等线" w:hAnsi="Times New Roman"/>
          <w:color w:val="000000"/>
        </w:rPr>
        <w:t>Represented TCL Technology Investments Limited, a wholly owned subsidiary of TCL Technology Group Corporation (stock code: 000100), for the issue of the credit enhanced notes, raising USD 300 million. The notes will be listed on the Singapore Exchange Limited. The joint lead managers include Bank of China Limited, Bank of China (Hong Kong) Limited, Admiralty Harbour Capital Limited, Bank of East Asia, BNP PARIBAS, Cr</w:t>
      </w:r>
      <w:r w:rsidRPr="004C363A">
        <w:rPr>
          <w:rFonts w:ascii="等线" w:eastAsia="等线" w:hAnsi="Times New Roman"/>
          <w:color w:val="000000"/>
        </w:rPr>
        <w:t>é</w:t>
      </w:r>
      <w:r w:rsidRPr="004C363A">
        <w:rPr>
          <w:rFonts w:ascii="等线" w:eastAsia="等线" w:hAnsi="Times New Roman"/>
          <w:color w:val="000000"/>
        </w:rPr>
        <w:t>dit Agricole Corporate and Investment Bank, DBS Bank Ltd, Industrial and Commercial Bank of China (Asia) Limited, Natixis, Soci</w:t>
      </w:r>
      <w:r w:rsidRPr="004C363A">
        <w:rPr>
          <w:rFonts w:ascii="等线" w:eastAsia="等线" w:hAnsi="Times New Roman"/>
          <w:color w:val="000000"/>
        </w:rPr>
        <w:t>é</w:t>
      </w:r>
      <w:r w:rsidRPr="004C363A">
        <w:rPr>
          <w:rFonts w:ascii="等线" w:eastAsia="等线" w:hAnsi="Times New Roman"/>
          <w:color w:val="000000"/>
        </w:rPr>
        <w:t>t</w:t>
      </w:r>
      <w:r w:rsidRPr="004C363A">
        <w:rPr>
          <w:rFonts w:ascii="等线" w:eastAsia="等线" w:hAnsi="Times New Roman"/>
          <w:color w:val="000000"/>
        </w:rPr>
        <w:t>é</w:t>
      </w:r>
      <w:r w:rsidRPr="004C363A">
        <w:rPr>
          <w:rFonts w:ascii="等线" w:eastAsia="等线" w:hAnsi="Times New Roman"/>
          <w:color w:val="000000"/>
        </w:rPr>
        <w:t xml:space="preserve"> G</w:t>
      </w:r>
      <w:r w:rsidRPr="004C363A">
        <w:rPr>
          <w:rFonts w:ascii="等线" w:eastAsia="等线" w:hAnsi="Times New Roman"/>
          <w:color w:val="000000"/>
        </w:rPr>
        <w:t>é</w:t>
      </w:r>
      <w:r w:rsidRPr="004C363A">
        <w:rPr>
          <w:rFonts w:ascii="等线" w:eastAsia="等线" w:hAnsi="Times New Roman"/>
          <w:color w:val="000000"/>
        </w:rPr>
        <w:t>n</w:t>
      </w:r>
      <w:r w:rsidRPr="004C363A">
        <w:rPr>
          <w:rFonts w:ascii="等线" w:eastAsia="等线" w:hAnsi="Times New Roman"/>
          <w:color w:val="000000"/>
        </w:rPr>
        <w:t>é</w:t>
      </w:r>
      <w:r w:rsidRPr="004C363A">
        <w:rPr>
          <w:rFonts w:ascii="等线" w:eastAsia="等线" w:hAnsi="Times New Roman"/>
          <w:color w:val="000000"/>
        </w:rPr>
        <w:t>rale, and Standard Chartered Bank</w:t>
      </w:r>
    </w:p>
    <w:p w14:paraId="0294D6DE" w14:textId="77777777" w:rsidR="004C363A" w:rsidRDefault="004C363A" w:rsidP="004C363A">
      <w:pPr>
        <w:pStyle w:val="af5"/>
        <w:numPr>
          <w:ilvl w:val="0"/>
          <w:numId w:val="19"/>
        </w:numPr>
        <w:spacing w:before="120"/>
        <w:ind w:left="690" w:hanging="240"/>
        <w:rPr>
          <w:rFonts w:ascii="等线" w:eastAsia="等线" w:hAnsi="Times New Roman"/>
          <w:color w:val="000000"/>
        </w:rPr>
      </w:pPr>
      <w:r w:rsidRPr="004C363A">
        <w:rPr>
          <w:rFonts w:ascii="等线" w:eastAsia="等线" w:hAnsi="Times New Roman"/>
          <w:color w:val="000000"/>
        </w:rPr>
        <w:t>Represented HK-listed China Resources Land in conducting investigations and risk assessments on 15 real estate projects in Beijing and Guangdong, Guangxi, and Liaoning provinces jointly developed with other financial and strategic investors</w:t>
      </w:r>
    </w:p>
    <w:p w14:paraId="0127809F" w14:textId="77777777" w:rsidR="004C363A" w:rsidRDefault="004C363A" w:rsidP="004C363A">
      <w:pPr>
        <w:pStyle w:val="af5"/>
        <w:numPr>
          <w:ilvl w:val="0"/>
          <w:numId w:val="20"/>
        </w:numPr>
        <w:spacing w:before="120"/>
        <w:ind w:left="690" w:hanging="240"/>
        <w:rPr>
          <w:rFonts w:ascii="等线" w:eastAsia="等线" w:hAnsi="Times New Roman"/>
          <w:color w:val="000000"/>
        </w:rPr>
      </w:pPr>
      <w:r w:rsidRPr="004C363A">
        <w:rPr>
          <w:rFonts w:ascii="等线" w:eastAsia="等线" w:hAnsi="Times New Roman"/>
          <w:color w:val="000000"/>
        </w:rPr>
        <w:t>Represented Karrie International Holdings Ltd., a company listed on the Hong Kong Stock Exchange, in its cooperation with domestic and overseas partners to develop residential real estate projects in Dongguan</w:t>
      </w:r>
    </w:p>
    <w:p w14:paraId="30559004" w14:textId="77777777" w:rsidR="004C363A" w:rsidRDefault="004C363A" w:rsidP="004C363A">
      <w:pPr>
        <w:pStyle w:val="af5"/>
        <w:numPr>
          <w:ilvl w:val="0"/>
          <w:numId w:val="21"/>
        </w:numPr>
        <w:spacing w:before="120"/>
        <w:ind w:left="690" w:hanging="240"/>
        <w:rPr>
          <w:rFonts w:ascii="等线" w:eastAsia="等线" w:hAnsi="Times New Roman"/>
          <w:color w:val="000000"/>
        </w:rPr>
      </w:pPr>
      <w:r w:rsidRPr="004C363A">
        <w:rPr>
          <w:rFonts w:ascii="等线" w:eastAsia="等线" w:hAnsi="Times New Roman"/>
          <w:color w:val="000000"/>
        </w:rPr>
        <w:t>Represented Suga International Holdings Limited, a Hong Kong listed company, in its capital contributions with an industrial land in Huizhou to establish a joint project company to develop residential and commercial real estate projects through urban renewal and reconstruction</w:t>
      </w:r>
    </w:p>
    <w:p w14:paraId="6F61384E" w14:textId="77777777" w:rsidR="004C363A" w:rsidRDefault="004C363A" w:rsidP="004C363A">
      <w:pPr>
        <w:pStyle w:val="af5"/>
        <w:numPr>
          <w:ilvl w:val="0"/>
          <w:numId w:val="22"/>
        </w:numPr>
        <w:spacing w:before="120"/>
        <w:ind w:left="690" w:hanging="240"/>
        <w:rPr>
          <w:rFonts w:ascii="等线" w:eastAsia="等线" w:hAnsi="Times New Roman"/>
          <w:color w:val="000000"/>
        </w:rPr>
      </w:pPr>
      <w:r w:rsidRPr="004C363A">
        <w:rPr>
          <w:rFonts w:ascii="等线" w:eastAsia="等线" w:hAnsi="Times New Roman"/>
          <w:color w:val="000000"/>
        </w:rPr>
        <w:t>Represented a Hong Kong company in the RMB 700 million sale of an industrial property in Shenzhen to a domestic real estate developer and in the conversion of the property into residential and commercial property by way of urban renewal and reconstruction</w:t>
      </w:r>
    </w:p>
    <w:p w14:paraId="33A08E6C" w14:textId="77777777" w:rsidR="004C363A" w:rsidRDefault="004C363A" w:rsidP="004C363A">
      <w:pPr>
        <w:pStyle w:val="af5"/>
        <w:numPr>
          <w:ilvl w:val="0"/>
          <w:numId w:val="23"/>
        </w:numPr>
        <w:spacing w:before="120"/>
        <w:ind w:left="690" w:hanging="240"/>
        <w:rPr>
          <w:rFonts w:ascii="等线" w:eastAsia="等线" w:hAnsi="Times New Roman"/>
          <w:color w:val="000000"/>
        </w:rPr>
      </w:pPr>
      <w:r w:rsidRPr="004C363A">
        <w:rPr>
          <w:rFonts w:ascii="等线" w:eastAsia="等线" w:hAnsi="Times New Roman"/>
          <w:color w:val="000000"/>
        </w:rPr>
        <w:t>Represented Philips in the swap of its property for new property provided by the local government in Zhuhai, Guangdong Province</w:t>
      </w:r>
    </w:p>
    <w:p w14:paraId="37D7B3AA" w14:textId="77777777" w:rsidR="004C363A" w:rsidRDefault="004C363A" w:rsidP="004C363A">
      <w:pPr>
        <w:pStyle w:val="af5"/>
        <w:numPr>
          <w:ilvl w:val="0"/>
          <w:numId w:val="24"/>
        </w:numPr>
        <w:spacing w:before="120"/>
        <w:ind w:left="690" w:hanging="240"/>
        <w:rPr>
          <w:rFonts w:ascii="等线" w:eastAsia="等线" w:hAnsi="Times New Roman"/>
          <w:color w:val="000000"/>
        </w:rPr>
      </w:pPr>
      <w:r w:rsidRPr="004C363A">
        <w:rPr>
          <w:rFonts w:ascii="等线" w:eastAsia="等线" w:hAnsi="Times New Roman"/>
          <w:color w:val="000000"/>
        </w:rPr>
        <w:t>Advised multinationals and foreign listed companies on the establishment of wholly foreign-owned subsidiaries and joint ventures in China, and in general corporate, commercial and employment matters for their subsidiaries and joint ventures</w:t>
      </w:r>
    </w:p>
    <w:p w14:paraId="263E9F60" w14:textId="77777777" w:rsidR="004C363A" w:rsidRDefault="004C363A" w:rsidP="004C363A">
      <w:pPr>
        <w:pStyle w:val="af5"/>
        <w:spacing w:after="0" w:line="480" w:lineRule="auto"/>
        <w:rPr>
          <w:rFonts w:ascii="等线" w:eastAsia="等线" w:hAnsi="等线"/>
          <w:b/>
          <w:sz w:val="24"/>
        </w:rPr>
      </w:pPr>
      <w:r w:rsidRPr="004C363A">
        <w:rPr>
          <w:rFonts w:ascii="等线" w:eastAsia="等线" w:hAnsi="等线"/>
          <w:b/>
          <w:sz w:val="24"/>
        </w:rPr>
        <w:t>Education</w:t>
      </w:r>
    </w:p>
    <w:p w14:paraId="69E157F0" w14:textId="77777777" w:rsidR="004C363A" w:rsidRDefault="004C363A" w:rsidP="004C363A">
      <w:pPr>
        <w:pStyle w:val="af5"/>
        <w:numPr>
          <w:ilvl w:val="0"/>
          <w:numId w:val="25"/>
        </w:numPr>
        <w:spacing w:before="120"/>
        <w:ind w:left="690" w:hanging="240"/>
        <w:rPr>
          <w:rFonts w:ascii="等线" w:eastAsia="等线" w:hAnsi="Times New Roman"/>
          <w:color w:val="000000"/>
        </w:rPr>
      </w:pPr>
      <w:r w:rsidRPr="004C363A">
        <w:rPr>
          <w:rFonts w:ascii="等线" w:eastAsia="等线" w:hAnsi="Times New Roman"/>
          <w:color w:val="000000"/>
        </w:rPr>
        <w:t>Peking University, J.D. and J.M.</w:t>
      </w:r>
    </w:p>
    <w:p w14:paraId="2E3DA78A" w14:textId="77777777" w:rsidR="004C363A" w:rsidRDefault="004C363A" w:rsidP="004C363A">
      <w:pPr>
        <w:pStyle w:val="af5"/>
        <w:spacing w:after="0" w:line="480" w:lineRule="auto"/>
        <w:rPr>
          <w:rFonts w:ascii="等线" w:eastAsia="等线" w:hAnsi="等线"/>
          <w:b/>
          <w:sz w:val="24"/>
        </w:rPr>
      </w:pPr>
      <w:r w:rsidRPr="004C363A">
        <w:rPr>
          <w:rFonts w:ascii="等线" w:eastAsia="等线" w:hAnsi="等线"/>
          <w:b/>
          <w:sz w:val="24"/>
        </w:rPr>
        <w:t>Professional Qualification</w:t>
      </w:r>
    </w:p>
    <w:p w14:paraId="32B19896" w14:textId="77777777" w:rsidR="004C363A" w:rsidRDefault="004C363A" w:rsidP="004C363A">
      <w:pPr>
        <w:pStyle w:val="af5"/>
        <w:numPr>
          <w:ilvl w:val="0"/>
          <w:numId w:val="26"/>
        </w:numPr>
        <w:spacing w:before="120"/>
        <w:ind w:left="690" w:hanging="240"/>
        <w:rPr>
          <w:rFonts w:ascii="等线" w:eastAsia="等线" w:hAnsi="Times New Roman"/>
          <w:color w:val="000000"/>
        </w:rPr>
      </w:pPr>
      <w:r w:rsidRPr="004C363A">
        <w:rPr>
          <w:rFonts w:ascii="等线" w:eastAsia="等线" w:hAnsi="Times New Roman"/>
          <w:color w:val="000000"/>
        </w:rPr>
        <w:t>Admitted to practice in the PRC</w:t>
      </w:r>
    </w:p>
    <w:p w14:paraId="34F736CD" w14:textId="77777777" w:rsidR="004C363A" w:rsidRDefault="004C363A" w:rsidP="004C363A">
      <w:pPr>
        <w:pStyle w:val="af5"/>
        <w:spacing w:after="0" w:line="480" w:lineRule="auto"/>
        <w:rPr>
          <w:rFonts w:ascii="等线" w:eastAsia="等线" w:hAnsi="等线"/>
          <w:b/>
          <w:sz w:val="24"/>
        </w:rPr>
      </w:pPr>
      <w:r w:rsidRPr="004C363A">
        <w:rPr>
          <w:rFonts w:ascii="等线" w:eastAsia="等线" w:hAnsi="等线"/>
          <w:b/>
          <w:sz w:val="24"/>
        </w:rPr>
        <w:t>Professional Background</w:t>
      </w:r>
    </w:p>
    <w:p w14:paraId="5567FC3C" w14:textId="0AFE1D35" w:rsidR="00686369" w:rsidRPr="004C363A" w:rsidRDefault="004C363A" w:rsidP="004C363A">
      <w:pPr>
        <w:pStyle w:val="af5"/>
        <w:numPr>
          <w:ilvl w:val="0"/>
          <w:numId w:val="27"/>
        </w:numPr>
        <w:spacing w:before="120"/>
        <w:ind w:left="690" w:hanging="240"/>
        <w:rPr>
          <w:rFonts w:ascii="等线" w:eastAsia="等线" w:hAnsi="Times New Roman"/>
          <w:color w:val="000000"/>
        </w:rPr>
      </w:pPr>
      <w:r w:rsidRPr="004C363A">
        <w:rPr>
          <w:rFonts w:ascii="等线" w:eastAsia="等线" w:hAnsi="Times New Roman"/>
          <w:color w:val="000000"/>
        </w:rPr>
        <w:t>Mr. Zhao joined Fangda</w:t>
      </w:r>
      <w:r w:rsidRPr="004C363A">
        <w:rPr>
          <w:rFonts w:ascii="等线" w:eastAsia="等线" w:hAnsi="Times New Roman"/>
          <w:color w:val="000000"/>
        </w:rPr>
        <w:t>’</w:t>
      </w:r>
      <w:r w:rsidRPr="004C363A">
        <w:rPr>
          <w:rFonts w:ascii="等线" w:eastAsia="等线" w:hAnsi="Times New Roman"/>
          <w:color w:val="000000"/>
        </w:rPr>
        <w:t>s Shenzhen office in 2014.</w:t>
      </w:r>
    </w:p>
    <w:sectPr w:rsidR="00686369" w:rsidRPr="004C363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3914"/>
    <w:multiLevelType w:val="singleLevel"/>
    <w:tmpl w:val="87AC613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3A09D2"/>
    <w:multiLevelType w:val="singleLevel"/>
    <w:tmpl w:val="3C66A63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E074ED"/>
    <w:multiLevelType w:val="singleLevel"/>
    <w:tmpl w:val="F780819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F53A11"/>
    <w:multiLevelType w:val="singleLevel"/>
    <w:tmpl w:val="846CB15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440604"/>
    <w:multiLevelType w:val="singleLevel"/>
    <w:tmpl w:val="79FC138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F20E63"/>
    <w:multiLevelType w:val="singleLevel"/>
    <w:tmpl w:val="5E404AF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7F67842"/>
    <w:multiLevelType w:val="singleLevel"/>
    <w:tmpl w:val="42BED19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38B5579"/>
    <w:multiLevelType w:val="singleLevel"/>
    <w:tmpl w:val="2EE0BB5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91C5F0B"/>
    <w:multiLevelType w:val="singleLevel"/>
    <w:tmpl w:val="A6208EF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C8D4D6A"/>
    <w:multiLevelType w:val="singleLevel"/>
    <w:tmpl w:val="3C5875E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2A4688"/>
    <w:multiLevelType w:val="singleLevel"/>
    <w:tmpl w:val="0396FD6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0FE440D"/>
    <w:multiLevelType w:val="singleLevel"/>
    <w:tmpl w:val="8FF0916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2A23C1B"/>
    <w:multiLevelType w:val="singleLevel"/>
    <w:tmpl w:val="0CA44B1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0C0C20"/>
    <w:multiLevelType w:val="singleLevel"/>
    <w:tmpl w:val="209688B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D703241"/>
    <w:multiLevelType w:val="singleLevel"/>
    <w:tmpl w:val="A364C93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1201DF4"/>
    <w:multiLevelType w:val="singleLevel"/>
    <w:tmpl w:val="35A0B07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2C949CA"/>
    <w:multiLevelType w:val="singleLevel"/>
    <w:tmpl w:val="9EB6181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A001CB6"/>
    <w:multiLevelType w:val="singleLevel"/>
    <w:tmpl w:val="FB5A603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BC45CD0"/>
    <w:multiLevelType w:val="singleLevel"/>
    <w:tmpl w:val="C15A365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F065D82"/>
    <w:multiLevelType w:val="singleLevel"/>
    <w:tmpl w:val="8DB8694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1631057"/>
    <w:multiLevelType w:val="singleLevel"/>
    <w:tmpl w:val="C524B33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BCD7712"/>
    <w:multiLevelType w:val="singleLevel"/>
    <w:tmpl w:val="A364C93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3845724"/>
    <w:multiLevelType w:val="singleLevel"/>
    <w:tmpl w:val="F0B872A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57A0FB2"/>
    <w:multiLevelType w:val="singleLevel"/>
    <w:tmpl w:val="B9186F7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92134EA"/>
    <w:multiLevelType w:val="singleLevel"/>
    <w:tmpl w:val="3B14E162"/>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5"/>
  </w:num>
  <w:num w:numId="3">
    <w:abstractNumId w:val="8"/>
  </w:num>
  <w:num w:numId="4">
    <w:abstractNumId w:val="5"/>
  </w:num>
  <w:num w:numId="5">
    <w:abstractNumId w:val="9"/>
  </w:num>
  <w:num w:numId="6">
    <w:abstractNumId w:val="18"/>
  </w:num>
  <w:num w:numId="7">
    <w:abstractNumId w:val="14"/>
  </w:num>
  <w:num w:numId="8">
    <w:abstractNumId w:val="6"/>
  </w:num>
  <w:num w:numId="9">
    <w:abstractNumId w:val="4"/>
  </w:num>
  <w:num w:numId="10">
    <w:abstractNumId w:val="13"/>
  </w:num>
  <w:num w:numId="11">
    <w:abstractNumId w:val="12"/>
  </w:num>
  <w:num w:numId="12">
    <w:abstractNumId w:val="19"/>
  </w:num>
  <w:num w:numId="13">
    <w:abstractNumId w:val="10"/>
  </w:num>
  <w:num w:numId="14">
    <w:abstractNumId w:val="26"/>
  </w:num>
  <w:num w:numId="15">
    <w:abstractNumId w:val="2"/>
  </w:num>
  <w:num w:numId="16">
    <w:abstractNumId w:val="17"/>
  </w:num>
  <w:num w:numId="17">
    <w:abstractNumId w:val="7"/>
  </w:num>
  <w:num w:numId="18">
    <w:abstractNumId w:val="3"/>
  </w:num>
  <w:num w:numId="19">
    <w:abstractNumId w:val="22"/>
  </w:num>
  <w:num w:numId="20">
    <w:abstractNumId w:val="0"/>
  </w:num>
  <w:num w:numId="21">
    <w:abstractNumId w:val="24"/>
  </w:num>
  <w:num w:numId="22">
    <w:abstractNumId w:val="1"/>
  </w:num>
  <w:num w:numId="23">
    <w:abstractNumId w:val="21"/>
  </w:num>
  <w:num w:numId="24">
    <w:abstractNumId w:val="20"/>
  </w:num>
  <w:num w:numId="25">
    <w:abstractNumId w:val="25"/>
  </w:num>
  <w:num w:numId="26">
    <w:abstractNumId w:val="16"/>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C363A"/>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C363A"/>
    <w:pPr>
      <w:spacing w:after="120"/>
    </w:pPr>
  </w:style>
  <w:style w:type="character" w:customStyle="1" w:styleId="af6">
    <w:name w:val="正文文本 字符"/>
    <w:basedOn w:val="a0"/>
    <w:link w:val="af5"/>
    <w:uiPriority w:val="99"/>
    <w:rsid w:val="004C363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7261F4-96A5-4FA7-8E36-F7E8385E0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659</Words>
  <Characters>3757</Characters>
  <Application>Microsoft Office Word</Application>
  <DocSecurity>0</DocSecurity>
  <Lines>31</Lines>
  <Paragraphs>8</Paragraphs>
  <ScaleCrop>false</ScaleCrop>
  <Company/>
  <LinksUpToDate>false</LinksUpToDate>
  <CharactersWithSpaces>4408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2026-08-04T18:53:00Z</dcterms:created>
  <dcterms:modified xsi:type="dcterms:W3CDTF">2026-08-04T18:53:00Z</dcterms:modified>
</cp:coreProperties>
</file>