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92A6BC" w:rsidR="0049405C" w:rsidRPr="00C24D79" w:rsidRDefault="00762656" w:rsidP="0076265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62656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38137C86" w:rsidR="0049405C" w:rsidRPr="00C24D79" w:rsidRDefault="00762656" w:rsidP="0076265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6265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6265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6265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E9CEED4" w:rsidR="0049405C" w:rsidRPr="00C24D79" w:rsidRDefault="00762656" w:rsidP="0076265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62656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4583262A" w:rsidR="0049405C" w:rsidRPr="00C24D79" w:rsidRDefault="00762656" w:rsidP="0076265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62656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8651AB8" w:rsidR="0049405C" w:rsidRPr="00C24D79" w:rsidRDefault="0076265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9BEC8BB" wp14:editId="1A900A1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35BE95B" w:rsidR="009465FB" w:rsidRPr="00C24D79" w:rsidRDefault="0076265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62656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6879E2E" w14:textId="77777777" w:rsidR="0076265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11FBAB6" w14:textId="77777777" w:rsidR="00762656" w:rsidRDefault="00762656" w:rsidP="0076265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2656">
        <w:rPr>
          <w:rFonts w:ascii="等线" w:eastAsia="等线" w:hAnsi="等线"/>
          <w:b/>
          <w:sz w:val="24"/>
        </w:rPr>
        <w:t>REPRESENTATIVE MATTERS AND CASES</w:t>
      </w:r>
    </w:p>
    <w:p w14:paraId="68DC1964" w14:textId="77777777" w:rsidR="00762656" w:rsidRDefault="00762656" w:rsidP="00762656">
      <w:pPr>
        <w:pStyle w:val="af5"/>
        <w:spacing w:before="12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M&amp;A AND PRIVATE EQUITY</w:t>
      </w:r>
    </w:p>
    <w:p w14:paraId="798D79EF" w14:textId="77777777" w:rsidR="00762656" w:rsidRDefault="00762656" w:rsidP="0076265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09E45E32" w14:textId="77777777" w:rsidR="00762656" w:rsidRDefault="00762656" w:rsidP="0076265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1D50B69A" w14:textId="77777777" w:rsidR="00762656" w:rsidRDefault="00762656" w:rsidP="0076265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KKR in its acquisition of NVC Lighting</w:t>
      </w:r>
    </w:p>
    <w:p w14:paraId="1BFD6E32" w14:textId="77777777" w:rsidR="00762656" w:rsidRDefault="00762656" w:rsidP="0076265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CRHC in its acquisition of Dagong Credit</w:t>
      </w:r>
    </w:p>
    <w:p w14:paraId="700FC98C" w14:textId="77777777" w:rsidR="00762656" w:rsidRDefault="00762656" w:rsidP="0076265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ChemChina in its acquisition of Syngenta</w:t>
      </w:r>
    </w:p>
    <w:p w14:paraId="122FCD00" w14:textId="77777777" w:rsidR="00762656" w:rsidRDefault="00762656" w:rsidP="0076265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2E90ED51" w14:textId="77777777" w:rsidR="00762656" w:rsidRDefault="00762656" w:rsidP="0076265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557AA99C" w14:textId="77777777" w:rsidR="00762656" w:rsidRDefault="00762656" w:rsidP="0076265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4C6A2913" w14:textId="77777777" w:rsidR="00762656" w:rsidRDefault="00762656" w:rsidP="0076265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3C68270F" w14:textId="77777777" w:rsidR="00762656" w:rsidRDefault="00762656" w:rsidP="0076265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599C509A" w14:textId="77777777" w:rsidR="00762656" w:rsidRDefault="00762656" w:rsidP="0076265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3DC70D0C" w14:textId="77777777" w:rsidR="00762656" w:rsidRDefault="00762656" w:rsidP="00762656">
      <w:pPr>
        <w:pStyle w:val="af5"/>
        <w:spacing w:before="12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CAPITAL MARKETS</w:t>
      </w:r>
    </w:p>
    <w:p w14:paraId="5E2EFACD" w14:textId="77777777" w:rsidR="00762656" w:rsidRDefault="00762656" w:rsidP="0076265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Representing sponsor CICC in connection with GAC Group</w:t>
      </w:r>
      <w:r w:rsidRPr="00762656">
        <w:rPr>
          <w:rFonts w:ascii="等线" w:eastAsia="等线" w:hAnsi="Times New Roman"/>
          <w:color w:val="000000"/>
        </w:rPr>
        <w:t>’</w:t>
      </w:r>
      <w:r w:rsidRPr="00762656">
        <w:rPr>
          <w:rFonts w:ascii="等线" w:eastAsia="等线" w:hAnsi="Times New Roman"/>
          <w:color w:val="000000"/>
        </w:rPr>
        <w:t>s private placement of A shares</w:t>
      </w:r>
    </w:p>
    <w:p w14:paraId="4232F7E4" w14:textId="77777777" w:rsidR="00762656" w:rsidRDefault="00762656" w:rsidP="0076265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4C58A080" w14:textId="77777777" w:rsidR="00762656" w:rsidRDefault="00762656" w:rsidP="0076265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Alibaba in its IPO on the HKEX</w:t>
      </w:r>
    </w:p>
    <w:p w14:paraId="05877D52" w14:textId="77777777" w:rsidR="00762656" w:rsidRDefault="00762656" w:rsidP="0076265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1D811438" w14:textId="77777777" w:rsidR="00762656" w:rsidRDefault="00762656" w:rsidP="0076265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762656">
        <w:rPr>
          <w:rFonts w:ascii="等线" w:eastAsia="等线" w:hAnsi="Times New Roman"/>
          <w:color w:val="000000"/>
        </w:rPr>
        <w:t>’</w:t>
      </w:r>
      <w:r w:rsidRPr="00762656">
        <w:rPr>
          <w:rFonts w:ascii="等线" w:eastAsia="等线" w:hAnsi="Times New Roman"/>
          <w:color w:val="000000"/>
        </w:rPr>
        <w:t xml:space="preserve">s </w:t>
      </w:r>
      <w:r w:rsidRPr="00762656">
        <w:rPr>
          <w:rFonts w:ascii="等线" w:eastAsia="等线" w:hAnsi="Times New Roman"/>
          <w:color w:val="000000"/>
        </w:rPr>
        <w:t>“</w:t>
      </w:r>
      <w:r w:rsidRPr="00762656">
        <w:rPr>
          <w:rFonts w:ascii="等线" w:eastAsia="等线" w:hAnsi="Times New Roman"/>
          <w:color w:val="000000"/>
        </w:rPr>
        <w:t>stock for asset</w:t>
      </w:r>
      <w:r w:rsidRPr="00762656">
        <w:rPr>
          <w:rFonts w:ascii="等线" w:eastAsia="等线" w:hAnsi="Times New Roman"/>
          <w:color w:val="000000"/>
        </w:rPr>
        <w:t>”</w:t>
      </w:r>
      <w:r w:rsidRPr="00762656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264BCDA7" w14:textId="77777777" w:rsidR="00762656" w:rsidRDefault="00762656" w:rsidP="0076265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762656">
        <w:rPr>
          <w:rFonts w:ascii="等线" w:eastAsia="等线" w:hAnsi="Times New Roman"/>
          <w:color w:val="000000"/>
        </w:rPr>
        <w:t>’</w:t>
      </w:r>
      <w:r w:rsidRPr="00762656">
        <w:rPr>
          <w:rFonts w:ascii="等线" w:eastAsia="等线" w:hAnsi="Times New Roman"/>
          <w:color w:val="000000"/>
        </w:rPr>
        <w:t>s reverse merger with its controlling shareholder</w:t>
      </w:r>
    </w:p>
    <w:p w14:paraId="164603B5" w14:textId="77777777" w:rsidR="00762656" w:rsidRDefault="00762656" w:rsidP="0076265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762656">
        <w:rPr>
          <w:rFonts w:ascii="等线" w:eastAsia="等线" w:hAnsi="Times New Roman"/>
          <w:color w:val="000000"/>
        </w:rPr>
        <w:t>“</w:t>
      </w:r>
      <w:r w:rsidRPr="00762656">
        <w:rPr>
          <w:rFonts w:ascii="等线" w:eastAsia="等线" w:hAnsi="Times New Roman"/>
          <w:color w:val="000000"/>
        </w:rPr>
        <w:t>stock for asset</w:t>
      </w:r>
      <w:r w:rsidRPr="00762656">
        <w:rPr>
          <w:rFonts w:ascii="等线" w:eastAsia="等线" w:hAnsi="Times New Roman"/>
          <w:color w:val="000000"/>
        </w:rPr>
        <w:t>”</w:t>
      </w:r>
      <w:r w:rsidRPr="00762656">
        <w:rPr>
          <w:rFonts w:ascii="等线" w:eastAsia="等线" w:hAnsi="Times New Roman"/>
          <w:color w:val="000000"/>
        </w:rPr>
        <w:t xml:space="preserve"> deal</w:t>
      </w:r>
    </w:p>
    <w:p w14:paraId="68ED67C2" w14:textId="77777777" w:rsidR="00762656" w:rsidRDefault="00762656" w:rsidP="0076265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762656">
        <w:rPr>
          <w:rFonts w:ascii="等线" w:eastAsia="等线" w:hAnsi="Times New Roman"/>
          <w:color w:val="000000"/>
        </w:rPr>
        <w:t>’</w:t>
      </w:r>
      <w:r w:rsidRPr="00762656">
        <w:rPr>
          <w:rFonts w:ascii="等线" w:eastAsia="等线" w:hAnsi="Times New Roman"/>
          <w:color w:val="000000"/>
        </w:rPr>
        <w:t>s merger with Guodian Group</w:t>
      </w:r>
    </w:p>
    <w:p w14:paraId="5242C929" w14:textId="77777777" w:rsidR="00762656" w:rsidRDefault="00762656" w:rsidP="0076265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63D0674F" w14:textId="77777777" w:rsidR="00762656" w:rsidRDefault="00762656" w:rsidP="0076265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Represented Wuxi AppTec Co. Ltd. in its domestic IPO</w:t>
      </w:r>
    </w:p>
    <w:p w14:paraId="12FCAD99" w14:textId="77777777" w:rsidR="00762656" w:rsidRDefault="00762656" w:rsidP="0076265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2656">
        <w:rPr>
          <w:rFonts w:ascii="等线" w:eastAsia="等线" w:hAnsi="等线"/>
          <w:b/>
          <w:sz w:val="24"/>
        </w:rPr>
        <w:t>Education</w:t>
      </w:r>
    </w:p>
    <w:p w14:paraId="26EA3BB8" w14:textId="77777777" w:rsidR="00762656" w:rsidRDefault="00762656" w:rsidP="0076265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2CCE328F" w14:textId="77777777" w:rsidR="00762656" w:rsidRDefault="00762656" w:rsidP="0076265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0DEB8C61" w14:textId="77777777" w:rsidR="00762656" w:rsidRDefault="00762656" w:rsidP="0076265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2656">
        <w:rPr>
          <w:rFonts w:ascii="等线" w:eastAsia="等线" w:hAnsi="等线"/>
          <w:b/>
          <w:sz w:val="24"/>
        </w:rPr>
        <w:t>Professional Qualification</w:t>
      </w:r>
    </w:p>
    <w:p w14:paraId="5DBA4C68" w14:textId="77777777" w:rsidR="00762656" w:rsidRDefault="00762656" w:rsidP="0076265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Admitted to practice in the PRC</w:t>
      </w:r>
    </w:p>
    <w:p w14:paraId="6A061D99" w14:textId="77777777" w:rsidR="00762656" w:rsidRDefault="00762656" w:rsidP="0076265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62656">
        <w:rPr>
          <w:rFonts w:ascii="等线" w:eastAsia="等线" w:hAnsi="等线"/>
          <w:b/>
          <w:sz w:val="24"/>
        </w:rPr>
        <w:t>Professional Background</w:t>
      </w:r>
    </w:p>
    <w:p w14:paraId="5567FC3C" w14:textId="07AA6CF9" w:rsidR="00686369" w:rsidRPr="00762656" w:rsidRDefault="00762656" w:rsidP="0076265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62656">
        <w:rPr>
          <w:rFonts w:ascii="等线" w:eastAsia="等线" w:hAnsi="Times New Roman"/>
          <w:color w:val="000000"/>
        </w:rPr>
        <w:t>Mr. Xu joined Fangda in 2015.</w:t>
      </w:r>
    </w:p>
    <w:sectPr w:rsidR="00686369" w:rsidRPr="0076265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5C58"/>
    <w:multiLevelType w:val="singleLevel"/>
    <w:tmpl w:val="F18ACC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E46487"/>
    <w:multiLevelType w:val="singleLevel"/>
    <w:tmpl w:val="3BFA6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550C4E"/>
    <w:multiLevelType w:val="singleLevel"/>
    <w:tmpl w:val="1354C0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016571"/>
    <w:multiLevelType w:val="singleLevel"/>
    <w:tmpl w:val="ED38F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073188"/>
    <w:multiLevelType w:val="singleLevel"/>
    <w:tmpl w:val="F00ED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DC3136"/>
    <w:multiLevelType w:val="singleLevel"/>
    <w:tmpl w:val="EA7EA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BA781F"/>
    <w:multiLevelType w:val="singleLevel"/>
    <w:tmpl w:val="8CC87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3D047A"/>
    <w:multiLevelType w:val="singleLevel"/>
    <w:tmpl w:val="32E027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7F0C2C"/>
    <w:multiLevelType w:val="singleLevel"/>
    <w:tmpl w:val="94AE7C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213C17"/>
    <w:multiLevelType w:val="singleLevel"/>
    <w:tmpl w:val="3A88E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DC4C2A"/>
    <w:multiLevelType w:val="singleLevel"/>
    <w:tmpl w:val="388470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3686738"/>
    <w:multiLevelType w:val="singleLevel"/>
    <w:tmpl w:val="A99EB3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FF0D52"/>
    <w:multiLevelType w:val="singleLevel"/>
    <w:tmpl w:val="5FD83D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BF291B"/>
    <w:multiLevelType w:val="singleLevel"/>
    <w:tmpl w:val="7C625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F1849C3"/>
    <w:multiLevelType w:val="singleLevel"/>
    <w:tmpl w:val="912CD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5A3B20"/>
    <w:multiLevelType w:val="singleLevel"/>
    <w:tmpl w:val="1A627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EB299B"/>
    <w:multiLevelType w:val="singleLevel"/>
    <w:tmpl w:val="6044A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7C347B"/>
    <w:multiLevelType w:val="singleLevel"/>
    <w:tmpl w:val="3A2AC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B3B3849"/>
    <w:multiLevelType w:val="singleLevel"/>
    <w:tmpl w:val="2A928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81040D"/>
    <w:multiLevelType w:val="singleLevel"/>
    <w:tmpl w:val="E31A1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6015CE"/>
    <w:multiLevelType w:val="singleLevel"/>
    <w:tmpl w:val="719AC3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1937605"/>
    <w:multiLevelType w:val="singleLevel"/>
    <w:tmpl w:val="6044A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C143F5"/>
    <w:multiLevelType w:val="singleLevel"/>
    <w:tmpl w:val="CA3AD0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5E4A4B"/>
    <w:multiLevelType w:val="singleLevel"/>
    <w:tmpl w:val="B022A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83C68A4"/>
    <w:multiLevelType w:val="singleLevel"/>
    <w:tmpl w:val="9A66B3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243BCB"/>
    <w:multiLevelType w:val="singleLevel"/>
    <w:tmpl w:val="887A16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3"/>
  </w:num>
  <w:num w:numId="4">
    <w:abstractNumId w:val="24"/>
  </w:num>
  <w:num w:numId="5">
    <w:abstractNumId w:val="21"/>
  </w:num>
  <w:num w:numId="6">
    <w:abstractNumId w:val="13"/>
  </w:num>
  <w:num w:numId="7">
    <w:abstractNumId w:val="7"/>
  </w:num>
  <w:num w:numId="8">
    <w:abstractNumId w:val="10"/>
  </w:num>
  <w:num w:numId="9">
    <w:abstractNumId w:val="12"/>
  </w:num>
  <w:num w:numId="10">
    <w:abstractNumId w:val="2"/>
  </w:num>
  <w:num w:numId="11">
    <w:abstractNumId w:val="19"/>
  </w:num>
  <w:num w:numId="12">
    <w:abstractNumId w:val="14"/>
  </w:num>
  <w:num w:numId="13">
    <w:abstractNumId w:val="20"/>
  </w:num>
  <w:num w:numId="14">
    <w:abstractNumId w:val="27"/>
  </w:num>
  <w:num w:numId="15">
    <w:abstractNumId w:val="1"/>
  </w:num>
  <w:num w:numId="16">
    <w:abstractNumId w:val="25"/>
  </w:num>
  <w:num w:numId="17">
    <w:abstractNumId w:val="5"/>
  </w:num>
  <w:num w:numId="18">
    <w:abstractNumId w:val="16"/>
  </w:num>
  <w:num w:numId="19">
    <w:abstractNumId w:val="0"/>
  </w:num>
  <w:num w:numId="20">
    <w:abstractNumId w:val="17"/>
  </w:num>
  <w:num w:numId="21">
    <w:abstractNumId w:val="26"/>
  </w:num>
  <w:num w:numId="22">
    <w:abstractNumId w:val="22"/>
  </w:num>
  <w:num w:numId="23">
    <w:abstractNumId w:val="9"/>
  </w:num>
  <w:num w:numId="24">
    <w:abstractNumId w:val="6"/>
  </w:num>
  <w:num w:numId="25">
    <w:abstractNumId w:val="4"/>
  </w:num>
  <w:num w:numId="26">
    <w:abstractNumId w:val="8"/>
  </w:num>
  <w:num w:numId="27">
    <w:abstractNumId w:val="23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2656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6265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6265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0C9AC5-C2FC-4686-873E-095BCE76A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2026-06-19T10:06:00Z</dcterms:created>
  <dcterms:modified xsi:type="dcterms:W3CDTF">2026-06-19T10:06:00Z</dcterms:modified>
</cp:coreProperties>
</file>