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B0FD5E3" w:rsidR="0049405C" w:rsidRPr="00C24D79" w:rsidRDefault="00DD4961" w:rsidP="00DD4961">
            <w:pPr>
              <w:spacing w:line="720" w:lineRule="auto"/>
              <w:rPr>
                <w:rFonts w:eastAsiaTheme="minorHAnsi"/>
                <w:color w:val="545551"/>
              </w:rPr>
            </w:pPr>
            <w:bookmarkStart w:id="0" w:name="xingming"/>
            <w:bookmarkStart w:id="1" w:name="_GoBack"/>
            <w:bookmarkEnd w:id="1"/>
            <w:r w:rsidRPr="00DD4961">
              <w:rPr>
                <w:rFonts w:ascii="等线" w:eastAsia="等线" w:hAnsi="Times New Roman"/>
                <w:b/>
                <w:color w:val="000000"/>
                <w:sz w:val="48"/>
              </w:rPr>
              <w:t>JIN WANG</w:t>
            </w:r>
            <w:bookmarkEnd w:id="0"/>
          </w:p>
          <w:p w14:paraId="1CA82F27" w14:textId="77777777" w:rsidR="00DD4961" w:rsidRPr="00DD4961" w:rsidRDefault="00DD4961" w:rsidP="00DD4961">
            <w:pPr>
              <w:spacing w:line="360" w:lineRule="auto"/>
              <w:rPr>
                <w:rFonts w:ascii="等线" w:eastAsia="等线" w:hAnsi="Times New Roman"/>
                <w:b/>
                <w:bCs/>
                <w:color w:val="000000"/>
              </w:rPr>
            </w:pPr>
            <w:bookmarkStart w:id="2" w:name="didian"/>
            <w:r w:rsidRPr="00DD4961">
              <w:rPr>
                <w:rFonts w:ascii="等线" w:eastAsia="等线" w:hAnsi="Times New Roman"/>
                <w:b/>
                <w:bCs/>
                <w:color w:val="000000"/>
              </w:rPr>
              <w:t>Partner</w:t>
            </w:r>
            <w:r w:rsidRPr="00DD4961">
              <w:rPr>
                <w:rFonts w:ascii="等线" w:eastAsia="等线" w:hAnsi="Times New Roman"/>
                <w:b/>
                <w:bCs/>
                <w:color w:val="000000"/>
              </w:rPr>
              <w:t>·</w:t>
            </w:r>
            <w:r w:rsidRPr="00DD4961">
              <w:rPr>
                <w:rFonts w:ascii="等线" w:eastAsia="等线" w:hAnsi="Times New Roman"/>
                <w:b/>
                <w:bCs/>
                <w:color w:val="000000"/>
              </w:rPr>
              <w:t>Beijing</w:t>
            </w:r>
          </w:p>
          <w:p w14:paraId="706EB16B" w14:textId="7B25BEA3" w:rsidR="0049405C" w:rsidRPr="00C24D79" w:rsidRDefault="00DD4961" w:rsidP="00DD4961">
            <w:pPr>
              <w:spacing w:line="360" w:lineRule="auto"/>
              <w:rPr>
                <w:rFonts w:eastAsiaTheme="minorHAnsi"/>
                <w:b/>
                <w:bCs/>
                <w:color w:val="545551"/>
              </w:rPr>
            </w:pPr>
            <w:r w:rsidRPr="00DD4961">
              <w:rPr>
                <w:rFonts w:ascii="等线" w:eastAsia="等线" w:hAnsi="Times New Roman"/>
                <w:b/>
                <w:bCs/>
                <w:color w:val="000000"/>
              </w:rPr>
              <w:t>Registered Foreign Lawyer (PRC)</w:t>
            </w:r>
            <w:r w:rsidRPr="00DD4961">
              <w:rPr>
                <w:rFonts w:ascii="等线" w:eastAsia="等线" w:hAnsi="Times New Roman"/>
                <w:b/>
                <w:bCs/>
                <w:color w:val="000000"/>
              </w:rPr>
              <w:t>·</w:t>
            </w:r>
            <w:r w:rsidRPr="00DD4961">
              <w:rPr>
                <w:rFonts w:ascii="等线" w:eastAsia="等线" w:hAnsi="Times New Roman"/>
                <w:b/>
                <w:bCs/>
                <w:color w:val="000000"/>
              </w:rPr>
              <w:t>Hong Kong</w:t>
            </w:r>
            <w:bookmarkEnd w:id="2"/>
          </w:p>
          <w:p w14:paraId="6199424A" w14:textId="720F5A63" w:rsidR="0049405C" w:rsidRPr="00C24D79" w:rsidRDefault="00DD4961" w:rsidP="00DD4961">
            <w:pPr>
              <w:spacing w:line="360" w:lineRule="auto"/>
              <w:rPr>
                <w:rFonts w:eastAsiaTheme="minorHAnsi"/>
                <w:color w:val="545551"/>
              </w:rPr>
            </w:pPr>
            <w:bookmarkStart w:id="3" w:name="dianhua"/>
            <w:r w:rsidRPr="00DD4961">
              <w:rPr>
                <w:rFonts w:ascii="等线" w:eastAsia="等线" w:hAnsi="Times New Roman"/>
                <w:color w:val="000000"/>
              </w:rPr>
              <w:t xml:space="preserve">+852 3976 8882 </w:t>
            </w:r>
            <w:bookmarkEnd w:id="3"/>
          </w:p>
          <w:p w14:paraId="4F910ACA" w14:textId="520B8CD0" w:rsidR="0049405C" w:rsidRPr="00C24D79" w:rsidRDefault="00DD4961" w:rsidP="00DD4961">
            <w:pPr>
              <w:spacing w:line="360" w:lineRule="auto"/>
              <w:rPr>
                <w:rFonts w:eastAsiaTheme="minorHAnsi"/>
                <w:color w:val="000000"/>
              </w:rPr>
            </w:pPr>
            <w:bookmarkStart w:id="4" w:name="youxiang"/>
            <w:r w:rsidRPr="00DD4961">
              <w:rPr>
                <w:rFonts w:ascii="等线" w:eastAsia="等线" w:hAnsi="Times New Roman"/>
                <w:color w:val="000000"/>
              </w:rPr>
              <w:t>jin.wang@fangdalaw.com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CFB52E6" w:rsidR="0049405C" w:rsidRPr="00C24D79" w:rsidRDefault="00DD4961"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0A83FE3" wp14:editId="37DAC52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025E35A" w:rsidR="009465FB" w:rsidRPr="00C24D79" w:rsidRDefault="00DD4961" w:rsidP="007177F3">
            <w:pPr>
              <w:rPr>
                <w:rFonts w:eastAsiaTheme="minorHAnsi"/>
                <w:color w:val="000000"/>
                <w:szCs w:val="21"/>
              </w:rPr>
            </w:pPr>
            <w:bookmarkStart w:id="6" w:name="zhiyelingyu"/>
            <w:r w:rsidRPr="00DD4961">
              <w:rPr>
                <w:rFonts w:ascii="等线" w:eastAsia="等线" w:hAnsi="Times New Roman"/>
                <w:color w:val="000000"/>
                <w:szCs w:val="21"/>
              </w:rPr>
              <w:t>MS. WANG SPECIALIZES IN ANTITRUST LAW, COMPETITION LAW AND REGULATORY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3F4B505" w14:textId="77777777" w:rsidR="00DD4961"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23FC866" w14:textId="77777777" w:rsidR="00DD4961" w:rsidRDefault="00DD4961" w:rsidP="00DD4961">
      <w:pPr>
        <w:pStyle w:val="af5"/>
        <w:spacing w:before="120"/>
        <w:rPr>
          <w:rFonts w:ascii="等线" w:eastAsia="等线" w:hAnsi="Times New Roman"/>
          <w:color w:val="000000"/>
        </w:rPr>
      </w:pPr>
      <w:r w:rsidRPr="00DD4961">
        <w:rPr>
          <w:rFonts w:ascii="等线" w:eastAsia="等线" w:hAnsi="Times New Roman"/>
          <w:color w:val="000000"/>
        </w:rPr>
        <w:t>Ms. Wang has more than 10 years of experience in advising clients on all aspects of Chinese competition law, including merger control, administrative investigations, and antitrust compliance. She has advised clients in a broad range of industry sectors, including healthcare, automobiles, chemicals, consumer products and retail, real estate, container shipping, energy and natural resources, high-tech, infrastructure and transportation, and private equity.</w:t>
      </w:r>
    </w:p>
    <w:p w14:paraId="61B4DB48" w14:textId="77777777" w:rsidR="00DD4961" w:rsidRDefault="00DD4961" w:rsidP="00DD4961">
      <w:pPr>
        <w:pStyle w:val="af5"/>
        <w:spacing w:after="0" w:line="480" w:lineRule="auto"/>
        <w:rPr>
          <w:rFonts w:ascii="等线" w:eastAsia="等线" w:hAnsi="等线"/>
          <w:b/>
          <w:sz w:val="24"/>
        </w:rPr>
      </w:pPr>
      <w:r w:rsidRPr="00DD4961">
        <w:rPr>
          <w:rFonts w:ascii="等线" w:eastAsia="等线" w:hAnsi="等线"/>
          <w:b/>
          <w:sz w:val="24"/>
        </w:rPr>
        <w:t>REPRESENTATIVE MATTERS AND CASES</w:t>
      </w:r>
    </w:p>
    <w:p w14:paraId="2197131A" w14:textId="77777777" w:rsidR="00DD4961" w:rsidRDefault="00DD4961" w:rsidP="00DD4961">
      <w:pPr>
        <w:pStyle w:val="af5"/>
        <w:spacing w:before="120"/>
        <w:rPr>
          <w:rFonts w:ascii="等线" w:eastAsia="等线" w:hAnsi="Times New Roman"/>
          <w:color w:val="000000"/>
        </w:rPr>
      </w:pPr>
      <w:r w:rsidRPr="00DD4961">
        <w:rPr>
          <w:rFonts w:ascii="等线" w:eastAsia="等线" w:hAnsi="Times New Roman"/>
          <w:color w:val="000000"/>
        </w:rPr>
        <w:t>Antitrust investigation</w:t>
      </w:r>
    </w:p>
    <w:p w14:paraId="2FCB8BA2" w14:textId="77777777" w:rsidR="00DD4961" w:rsidRDefault="00DD4961" w:rsidP="00DD4961">
      <w:pPr>
        <w:pStyle w:val="af5"/>
        <w:numPr>
          <w:ilvl w:val="0"/>
          <w:numId w:val="4"/>
        </w:numPr>
        <w:spacing w:before="120"/>
        <w:ind w:left="690" w:hanging="240"/>
        <w:rPr>
          <w:rFonts w:ascii="等线" w:eastAsia="等线" w:hAnsi="Times New Roman"/>
          <w:color w:val="000000"/>
        </w:rPr>
      </w:pPr>
      <w:r w:rsidRPr="00DD4961">
        <w:rPr>
          <w:rFonts w:ascii="等线" w:eastAsia="等线" w:hAnsi="Times New Roman"/>
          <w:color w:val="000000"/>
        </w:rPr>
        <w:t>Advised an international pharmaceutical manufacturer on antitrust issues in its proposed cooperation with an online diagnostics and pharmaceutical distribution business</w:t>
      </w:r>
    </w:p>
    <w:p w14:paraId="6B5376EA" w14:textId="77777777" w:rsidR="00DD4961" w:rsidRDefault="00DD4961" w:rsidP="00DD4961">
      <w:pPr>
        <w:pStyle w:val="af5"/>
        <w:numPr>
          <w:ilvl w:val="0"/>
          <w:numId w:val="5"/>
        </w:numPr>
        <w:spacing w:before="120"/>
        <w:ind w:left="690" w:hanging="240"/>
        <w:rPr>
          <w:rFonts w:ascii="等线" w:eastAsia="等线" w:hAnsi="Times New Roman"/>
          <w:color w:val="000000"/>
        </w:rPr>
      </w:pPr>
      <w:r w:rsidRPr="00DD4961">
        <w:rPr>
          <w:rFonts w:ascii="等线" w:eastAsia="等线" w:hAnsi="Times New Roman"/>
          <w:color w:val="000000"/>
        </w:rPr>
        <w:t>Advised Eastman Chemical Company, a global manufacturer of chemical products, on the first abuse of dominance investigation initiated by the SAIC in the industry, as well as on an NDRC investigation into resale price maintenance</w:t>
      </w:r>
    </w:p>
    <w:p w14:paraId="1B73439C" w14:textId="77777777" w:rsidR="00DD4961" w:rsidRDefault="00DD4961" w:rsidP="00DD4961">
      <w:pPr>
        <w:pStyle w:val="af5"/>
        <w:numPr>
          <w:ilvl w:val="0"/>
          <w:numId w:val="6"/>
        </w:numPr>
        <w:spacing w:before="120"/>
        <w:ind w:left="690" w:hanging="240"/>
        <w:rPr>
          <w:rFonts w:ascii="等线" w:eastAsia="等线" w:hAnsi="Times New Roman"/>
          <w:color w:val="000000"/>
        </w:rPr>
      </w:pPr>
      <w:r w:rsidRPr="00DD4961">
        <w:rPr>
          <w:rFonts w:ascii="等线" w:eastAsia="等线" w:hAnsi="Times New Roman"/>
          <w:color w:val="000000"/>
        </w:rPr>
        <w:t>Advised three state-owned port groups (Tianjin Port, Dalian Port and Yantian Port) on reaching favorable results in an NDRC antitrust investigation into alleged abuses of dominance</w:t>
      </w:r>
    </w:p>
    <w:p w14:paraId="07E1DCE2" w14:textId="77777777" w:rsidR="00DD4961" w:rsidRDefault="00DD4961" w:rsidP="00DD4961">
      <w:pPr>
        <w:pStyle w:val="af5"/>
        <w:numPr>
          <w:ilvl w:val="0"/>
          <w:numId w:val="7"/>
        </w:numPr>
        <w:spacing w:before="120"/>
        <w:ind w:left="690" w:hanging="240"/>
        <w:rPr>
          <w:rFonts w:ascii="等线" w:eastAsia="等线" w:hAnsi="Times New Roman"/>
          <w:color w:val="000000"/>
        </w:rPr>
      </w:pPr>
      <w:r w:rsidRPr="00DD4961">
        <w:rPr>
          <w:rFonts w:ascii="等线" w:eastAsia="等线" w:hAnsi="Times New Roman"/>
          <w:color w:val="000000"/>
        </w:rPr>
        <w:t>Advised Medtronic, a multinational medical device company, in successfully obtaining reduced fines in an NDRC investigation</w:t>
      </w:r>
    </w:p>
    <w:p w14:paraId="798854DE" w14:textId="77777777" w:rsidR="00DD4961" w:rsidRDefault="00DD4961" w:rsidP="00DD4961">
      <w:pPr>
        <w:pStyle w:val="af5"/>
        <w:numPr>
          <w:ilvl w:val="0"/>
          <w:numId w:val="8"/>
        </w:numPr>
        <w:spacing w:before="120"/>
        <w:ind w:left="690" w:hanging="240"/>
        <w:rPr>
          <w:rFonts w:ascii="等线" w:eastAsia="等线" w:hAnsi="Times New Roman"/>
          <w:color w:val="000000"/>
        </w:rPr>
      </w:pPr>
      <w:r w:rsidRPr="00DD4961">
        <w:rPr>
          <w:rFonts w:ascii="等线" w:eastAsia="等线" w:hAnsi="Times New Roman"/>
          <w:color w:val="000000"/>
        </w:rPr>
        <w:t>Advised Chrysler, Daimler and Chang</w:t>
      </w:r>
      <w:r w:rsidRPr="00DD4961">
        <w:rPr>
          <w:rFonts w:ascii="等线" w:eastAsia="等线" w:hAnsi="Times New Roman"/>
          <w:color w:val="000000"/>
        </w:rPr>
        <w:t>’</w:t>
      </w:r>
      <w:r w:rsidRPr="00DD4961">
        <w:rPr>
          <w:rFonts w:ascii="等线" w:eastAsia="等线" w:hAnsi="Times New Roman"/>
          <w:color w:val="000000"/>
        </w:rPr>
        <w:t>an Ford in successfully obtaining reduced fines in three out of the five published NDRC resale price maintenance cases against multinational automobile companies</w:t>
      </w:r>
    </w:p>
    <w:p w14:paraId="56F641DF" w14:textId="77777777" w:rsidR="00DD4961" w:rsidRDefault="00DD4961" w:rsidP="00DD4961">
      <w:pPr>
        <w:pStyle w:val="af5"/>
        <w:numPr>
          <w:ilvl w:val="0"/>
          <w:numId w:val="9"/>
        </w:numPr>
        <w:spacing w:before="120"/>
        <w:ind w:left="690" w:hanging="240"/>
        <w:rPr>
          <w:rFonts w:ascii="等线" w:eastAsia="等线" w:hAnsi="Times New Roman"/>
          <w:color w:val="000000"/>
        </w:rPr>
      </w:pPr>
      <w:r w:rsidRPr="00DD4961">
        <w:rPr>
          <w:rFonts w:ascii="等线" w:eastAsia="等线" w:hAnsi="Times New Roman"/>
          <w:color w:val="000000"/>
        </w:rPr>
        <w:t>Advised three multinational automobile companies in similar resale price maintenance investigations initiated by the NDRC</w:t>
      </w:r>
    </w:p>
    <w:p w14:paraId="5B048C4C" w14:textId="77777777" w:rsidR="00DD4961" w:rsidRDefault="00DD4961" w:rsidP="00DD4961">
      <w:pPr>
        <w:pStyle w:val="af5"/>
        <w:numPr>
          <w:ilvl w:val="0"/>
          <w:numId w:val="10"/>
        </w:numPr>
        <w:spacing w:before="120"/>
        <w:ind w:left="690" w:hanging="240"/>
        <w:rPr>
          <w:rFonts w:ascii="等线" w:eastAsia="等线" w:hAnsi="Times New Roman"/>
          <w:color w:val="000000"/>
        </w:rPr>
      </w:pPr>
      <w:r w:rsidRPr="00DD4961">
        <w:rPr>
          <w:rFonts w:ascii="等线" w:eastAsia="等线" w:hAnsi="Times New Roman"/>
          <w:color w:val="000000"/>
        </w:rPr>
        <w:t>Advised a leading global high-tech company in handling an SAIC antitrust investigation</w:t>
      </w:r>
    </w:p>
    <w:p w14:paraId="06A787F1" w14:textId="77777777" w:rsidR="00DD4961" w:rsidRDefault="00DD4961" w:rsidP="00DD4961">
      <w:pPr>
        <w:pStyle w:val="af5"/>
        <w:numPr>
          <w:ilvl w:val="0"/>
          <w:numId w:val="11"/>
        </w:numPr>
        <w:spacing w:before="120"/>
        <w:ind w:left="690" w:hanging="240"/>
        <w:rPr>
          <w:rFonts w:ascii="等线" w:eastAsia="等线" w:hAnsi="Times New Roman"/>
          <w:color w:val="000000"/>
        </w:rPr>
      </w:pPr>
      <w:r w:rsidRPr="00DD4961">
        <w:rPr>
          <w:rFonts w:ascii="等线" w:eastAsia="等线" w:hAnsi="Times New Roman"/>
          <w:color w:val="000000"/>
        </w:rPr>
        <w:t>Advised H</w:t>
      </w:r>
      <w:r w:rsidRPr="00DD4961">
        <w:rPr>
          <w:rFonts w:ascii="等线" w:eastAsia="等线" w:hAnsi="Times New Roman"/>
          <w:color w:val="000000"/>
        </w:rPr>
        <w:t>ö</w:t>
      </w:r>
      <w:r w:rsidRPr="00DD4961">
        <w:rPr>
          <w:rFonts w:ascii="等线" w:eastAsia="等线" w:hAnsi="Times New Roman"/>
          <w:color w:val="000000"/>
        </w:rPr>
        <w:t>egh Autoliners, an international shipping company, on the first successful defense against an NDRC cartel investigation in the PRC</w:t>
      </w:r>
    </w:p>
    <w:p w14:paraId="1EAE7740" w14:textId="77777777" w:rsidR="00DD4961" w:rsidRDefault="00DD4961" w:rsidP="00DD4961">
      <w:pPr>
        <w:pStyle w:val="af5"/>
        <w:numPr>
          <w:ilvl w:val="0"/>
          <w:numId w:val="12"/>
        </w:numPr>
        <w:spacing w:before="120"/>
        <w:ind w:left="690" w:hanging="240"/>
        <w:rPr>
          <w:rFonts w:ascii="等线" w:eastAsia="等线" w:hAnsi="Times New Roman"/>
          <w:color w:val="000000"/>
        </w:rPr>
      </w:pPr>
      <w:r w:rsidRPr="00DD4961">
        <w:rPr>
          <w:rFonts w:ascii="等线" w:eastAsia="等线" w:hAnsi="Times New Roman"/>
          <w:color w:val="000000"/>
        </w:rPr>
        <w:t>Advised a leading US toy manufacturing company on its defense against allegations by the local competition law enforcement that the company breached the PRC Anti-unfair Competition Law</w:t>
      </w:r>
    </w:p>
    <w:p w14:paraId="11B585D6" w14:textId="77777777" w:rsidR="00DD4961" w:rsidRDefault="00DD4961" w:rsidP="00DD4961">
      <w:pPr>
        <w:pStyle w:val="af5"/>
        <w:numPr>
          <w:ilvl w:val="0"/>
          <w:numId w:val="13"/>
        </w:numPr>
        <w:spacing w:before="120"/>
        <w:ind w:left="690" w:hanging="240"/>
        <w:rPr>
          <w:rFonts w:ascii="等线" w:eastAsia="等线" w:hAnsi="Times New Roman"/>
          <w:color w:val="000000"/>
        </w:rPr>
      </w:pPr>
      <w:r w:rsidRPr="00DD4961">
        <w:rPr>
          <w:rFonts w:ascii="等线" w:eastAsia="等线" w:hAnsi="Times New Roman"/>
          <w:color w:val="000000"/>
        </w:rPr>
        <w:t>Advised a leading Swiss medical device manufacturer on responding to allegations of abuse of dominant position in China</w:t>
      </w:r>
    </w:p>
    <w:p w14:paraId="45D986E7" w14:textId="77777777" w:rsidR="00DD4961" w:rsidRDefault="00DD4961" w:rsidP="00DD4961">
      <w:pPr>
        <w:pStyle w:val="af5"/>
        <w:numPr>
          <w:ilvl w:val="0"/>
          <w:numId w:val="14"/>
        </w:numPr>
        <w:spacing w:before="120"/>
        <w:ind w:left="690" w:hanging="240"/>
        <w:rPr>
          <w:rFonts w:ascii="等线" w:eastAsia="等线" w:hAnsi="Times New Roman"/>
          <w:color w:val="000000"/>
        </w:rPr>
      </w:pPr>
      <w:r w:rsidRPr="00DD4961">
        <w:rPr>
          <w:rFonts w:ascii="等线" w:eastAsia="等线" w:hAnsi="Times New Roman"/>
          <w:color w:val="000000"/>
        </w:rPr>
        <w:t>Advised several multinational and Chinese domestic manufacturing companies on antitrust issues arising from their cooperation and distribution agreements</w:t>
      </w:r>
    </w:p>
    <w:p w14:paraId="781EBD1A" w14:textId="77777777" w:rsidR="00DD4961" w:rsidRDefault="00DD4961" w:rsidP="00DD4961">
      <w:pPr>
        <w:pStyle w:val="af5"/>
        <w:numPr>
          <w:ilvl w:val="0"/>
          <w:numId w:val="15"/>
        </w:numPr>
        <w:spacing w:before="120"/>
        <w:ind w:left="690" w:hanging="240"/>
        <w:rPr>
          <w:rFonts w:ascii="等线" w:eastAsia="等线" w:hAnsi="Times New Roman"/>
          <w:color w:val="000000"/>
        </w:rPr>
      </w:pPr>
      <w:r w:rsidRPr="00DD4961">
        <w:rPr>
          <w:rFonts w:ascii="等线" w:eastAsia="等线" w:hAnsi="Times New Roman"/>
          <w:color w:val="000000"/>
        </w:rPr>
        <w:t>Advised a multinational pharmaceutical company and several state-owned company groups in setting up their internal antitrust compliance programs</w:t>
      </w:r>
    </w:p>
    <w:p w14:paraId="76DDB9E5" w14:textId="77777777" w:rsidR="00DD4961" w:rsidRDefault="00DD4961" w:rsidP="00DD4961">
      <w:pPr>
        <w:pStyle w:val="af5"/>
        <w:spacing w:before="120"/>
        <w:rPr>
          <w:rFonts w:ascii="等线" w:eastAsia="等线" w:hAnsi="Times New Roman"/>
          <w:color w:val="000000"/>
        </w:rPr>
      </w:pPr>
      <w:r w:rsidRPr="00DD4961">
        <w:rPr>
          <w:rFonts w:ascii="等线" w:eastAsia="等线" w:hAnsi="Times New Roman"/>
          <w:color w:val="000000"/>
        </w:rPr>
        <w:t>Merger control</w:t>
      </w:r>
    </w:p>
    <w:p w14:paraId="43694CAE" w14:textId="77777777" w:rsidR="00DD4961" w:rsidRDefault="00DD4961" w:rsidP="00DD4961">
      <w:pPr>
        <w:pStyle w:val="af5"/>
        <w:numPr>
          <w:ilvl w:val="0"/>
          <w:numId w:val="16"/>
        </w:numPr>
        <w:spacing w:before="120"/>
        <w:ind w:left="690" w:hanging="240"/>
        <w:rPr>
          <w:rFonts w:ascii="等线" w:eastAsia="等线" w:hAnsi="Times New Roman"/>
          <w:color w:val="000000"/>
        </w:rPr>
      </w:pPr>
      <w:r w:rsidRPr="00DD4961">
        <w:rPr>
          <w:rFonts w:ascii="等线" w:eastAsia="等线" w:hAnsi="Times New Roman"/>
          <w:color w:val="000000"/>
        </w:rPr>
        <w:t>Advised Danaher on the PRC merger filing for its USD 21.4 billion acquisition of GE Healthcare Life Sciences</w:t>
      </w:r>
      <w:r w:rsidRPr="00DD4961">
        <w:rPr>
          <w:rFonts w:ascii="等线" w:eastAsia="等线" w:hAnsi="Times New Roman"/>
          <w:color w:val="000000"/>
        </w:rPr>
        <w:t>’</w:t>
      </w:r>
      <w:r w:rsidRPr="00DD4961">
        <w:rPr>
          <w:rFonts w:ascii="等线" w:eastAsia="等线" w:hAnsi="Times New Roman"/>
          <w:color w:val="000000"/>
        </w:rPr>
        <w:t xml:space="preserve"> Biopharma Business</w:t>
      </w:r>
    </w:p>
    <w:p w14:paraId="5EB35B50" w14:textId="77777777" w:rsidR="00DD4961" w:rsidRDefault="00DD4961" w:rsidP="00DD4961">
      <w:pPr>
        <w:pStyle w:val="af5"/>
        <w:numPr>
          <w:ilvl w:val="0"/>
          <w:numId w:val="17"/>
        </w:numPr>
        <w:spacing w:before="120"/>
        <w:ind w:left="690" w:hanging="240"/>
        <w:rPr>
          <w:rFonts w:ascii="等线" w:eastAsia="等线" w:hAnsi="Times New Roman"/>
          <w:color w:val="000000"/>
        </w:rPr>
      </w:pPr>
      <w:r w:rsidRPr="00DD4961">
        <w:rPr>
          <w:rFonts w:ascii="等线" w:eastAsia="等线" w:hAnsi="Times New Roman"/>
          <w:color w:val="000000"/>
        </w:rPr>
        <w:t>Advised Blackstone on its acquisitions of real estate in China and its recent acquisition of real estate assets in Japan</w:t>
      </w:r>
    </w:p>
    <w:p w14:paraId="71B1960D" w14:textId="77777777" w:rsidR="00DD4961" w:rsidRDefault="00DD4961" w:rsidP="00DD4961">
      <w:pPr>
        <w:pStyle w:val="af5"/>
        <w:numPr>
          <w:ilvl w:val="0"/>
          <w:numId w:val="18"/>
        </w:numPr>
        <w:spacing w:before="120"/>
        <w:ind w:left="690" w:hanging="240"/>
        <w:rPr>
          <w:rFonts w:ascii="等线" w:eastAsia="等线" w:hAnsi="Times New Roman"/>
          <w:color w:val="000000"/>
        </w:rPr>
      </w:pPr>
      <w:r w:rsidRPr="00DD4961">
        <w:rPr>
          <w:rFonts w:ascii="等线" w:eastAsia="等线" w:hAnsi="Times New Roman"/>
          <w:color w:val="000000"/>
        </w:rPr>
        <w:t>Advised Warburg Pincus LLC on the PRC merger control filing for its acquisition of shares of P&amp;D Investment Holding Limited</w:t>
      </w:r>
    </w:p>
    <w:p w14:paraId="5DDD52A1" w14:textId="77777777" w:rsidR="00DD4961" w:rsidRDefault="00DD4961" w:rsidP="00DD4961">
      <w:pPr>
        <w:pStyle w:val="af5"/>
        <w:numPr>
          <w:ilvl w:val="0"/>
          <w:numId w:val="19"/>
        </w:numPr>
        <w:spacing w:before="120"/>
        <w:ind w:left="690" w:hanging="240"/>
        <w:rPr>
          <w:rFonts w:ascii="等线" w:eastAsia="等线" w:hAnsi="Times New Roman"/>
          <w:color w:val="000000"/>
        </w:rPr>
      </w:pPr>
      <w:r w:rsidRPr="00DD4961">
        <w:rPr>
          <w:rFonts w:ascii="等线" w:eastAsia="等线" w:hAnsi="Times New Roman"/>
          <w:color w:val="000000"/>
        </w:rPr>
        <w:t>Advised Mylan on its acquisition of Sebivo from Novartis</w:t>
      </w:r>
    </w:p>
    <w:p w14:paraId="17CB16BD" w14:textId="77777777" w:rsidR="00DD4961" w:rsidRDefault="00DD4961" w:rsidP="00DD4961">
      <w:pPr>
        <w:pStyle w:val="af5"/>
        <w:numPr>
          <w:ilvl w:val="0"/>
          <w:numId w:val="20"/>
        </w:numPr>
        <w:spacing w:before="120"/>
        <w:ind w:left="690" w:hanging="240"/>
        <w:rPr>
          <w:rFonts w:ascii="等线" w:eastAsia="等线" w:hAnsi="Times New Roman"/>
          <w:color w:val="000000"/>
        </w:rPr>
      </w:pPr>
      <w:r w:rsidRPr="00DD4961">
        <w:rPr>
          <w:rFonts w:ascii="等线" w:eastAsia="等线" w:hAnsi="Times New Roman"/>
          <w:color w:val="000000"/>
        </w:rPr>
        <w:t>Advised DKSH on the acquisition of DKSH</w:t>
      </w:r>
      <w:r w:rsidRPr="00DD4961">
        <w:rPr>
          <w:rFonts w:ascii="等线" w:eastAsia="等线" w:hAnsi="Times New Roman"/>
          <w:color w:val="000000"/>
        </w:rPr>
        <w:t>’</w:t>
      </w:r>
      <w:r w:rsidRPr="00DD4961">
        <w:rPr>
          <w:rFonts w:ascii="等线" w:eastAsia="等线" w:hAnsi="Times New Roman"/>
          <w:color w:val="000000"/>
        </w:rPr>
        <w:t>s pharmaceutical distribution business in China by Warburg Pincus LLC</w:t>
      </w:r>
    </w:p>
    <w:p w14:paraId="03A8FE8F" w14:textId="77777777" w:rsidR="00DD4961" w:rsidRDefault="00DD4961" w:rsidP="00DD4961">
      <w:pPr>
        <w:pStyle w:val="af5"/>
        <w:numPr>
          <w:ilvl w:val="0"/>
          <w:numId w:val="21"/>
        </w:numPr>
        <w:spacing w:before="120"/>
        <w:ind w:left="690" w:hanging="240"/>
        <w:rPr>
          <w:rFonts w:ascii="等线" w:eastAsia="等线" w:hAnsi="Times New Roman"/>
          <w:color w:val="000000"/>
        </w:rPr>
      </w:pPr>
      <w:r w:rsidRPr="00DD4961">
        <w:rPr>
          <w:rFonts w:ascii="等线" w:eastAsia="等线" w:hAnsi="Times New Roman"/>
          <w:color w:val="000000"/>
        </w:rPr>
        <w:t>Advised Hyundai Motor Company on its joint venture with Aptiv PLC to develop autonomous driving technology</w:t>
      </w:r>
    </w:p>
    <w:p w14:paraId="17DD76FD" w14:textId="77777777" w:rsidR="00DD4961" w:rsidRDefault="00DD4961" w:rsidP="00DD4961">
      <w:pPr>
        <w:pStyle w:val="af5"/>
        <w:numPr>
          <w:ilvl w:val="0"/>
          <w:numId w:val="22"/>
        </w:numPr>
        <w:spacing w:before="120"/>
        <w:ind w:left="690" w:hanging="240"/>
        <w:rPr>
          <w:rFonts w:ascii="等线" w:eastAsia="等线" w:hAnsi="Times New Roman"/>
          <w:color w:val="000000"/>
        </w:rPr>
      </w:pPr>
      <w:r w:rsidRPr="00DD4961">
        <w:rPr>
          <w:rFonts w:ascii="等线" w:eastAsia="等线" w:hAnsi="Times New Roman"/>
          <w:color w:val="000000"/>
        </w:rPr>
        <w:t>Advised Beijing Mercedes-Benz Sales Service Co., Ltd. (BMBS) on the acquisition of the distribution business of Denza through contractual arrangement</w:t>
      </w:r>
    </w:p>
    <w:p w14:paraId="60533D71" w14:textId="77777777" w:rsidR="00DD4961" w:rsidRDefault="00DD4961" w:rsidP="00DD4961">
      <w:pPr>
        <w:pStyle w:val="af5"/>
        <w:numPr>
          <w:ilvl w:val="0"/>
          <w:numId w:val="23"/>
        </w:numPr>
        <w:spacing w:before="120"/>
        <w:ind w:left="690" w:hanging="240"/>
        <w:rPr>
          <w:rFonts w:ascii="等线" w:eastAsia="等线" w:hAnsi="Times New Roman"/>
          <w:color w:val="000000"/>
        </w:rPr>
      </w:pPr>
      <w:r w:rsidRPr="00DD4961">
        <w:rPr>
          <w:rFonts w:ascii="等线" w:eastAsia="等线" w:hAnsi="Times New Roman"/>
          <w:color w:val="000000"/>
        </w:rPr>
        <w:t>Advised TPG on the investment in APM Monaco by a consortium led by TPG</w:t>
      </w:r>
    </w:p>
    <w:p w14:paraId="1D389434" w14:textId="77777777" w:rsidR="00DD4961" w:rsidRDefault="00DD4961" w:rsidP="00DD4961">
      <w:pPr>
        <w:pStyle w:val="af5"/>
        <w:numPr>
          <w:ilvl w:val="0"/>
          <w:numId w:val="24"/>
        </w:numPr>
        <w:spacing w:before="120"/>
        <w:ind w:left="690" w:hanging="240"/>
        <w:rPr>
          <w:rFonts w:ascii="等线" w:eastAsia="等线" w:hAnsi="Times New Roman"/>
          <w:color w:val="000000"/>
        </w:rPr>
      </w:pPr>
      <w:r w:rsidRPr="00DD4961">
        <w:rPr>
          <w:rFonts w:ascii="等线" w:eastAsia="等线" w:hAnsi="Times New Roman"/>
          <w:color w:val="000000"/>
        </w:rPr>
        <w:t>Advised TPG on its acquisition of Genting</w:t>
      </w:r>
      <w:r w:rsidRPr="00DD4961">
        <w:rPr>
          <w:rFonts w:ascii="等线" w:eastAsia="等线" w:hAnsi="Times New Roman"/>
          <w:color w:val="000000"/>
        </w:rPr>
        <w:t>’</w:t>
      </w:r>
      <w:r w:rsidRPr="00DD4961">
        <w:rPr>
          <w:rFonts w:ascii="等线" w:eastAsia="等线" w:hAnsi="Times New Roman"/>
          <w:color w:val="000000"/>
        </w:rPr>
        <w:t>s Dream Cruises business</w:t>
      </w:r>
    </w:p>
    <w:p w14:paraId="70F1370A" w14:textId="77777777" w:rsidR="00DD4961" w:rsidRDefault="00DD4961" w:rsidP="00DD4961">
      <w:pPr>
        <w:pStyle w:val="af5"/>
        <w:numPr>
          <w:ilvl w:val="0"/>
          <w:numId w:val="25"/>
        </w:numPr>
        <w:spacing w:before="120"/>
        <w:ind w:left="690" w:hanging="240"/>
        <w:rPr>
          <w:rFonts w:ascii="等线" w:eastAsia="等线" w:hAnsi="Times New Roman"/>
          <w:color w:val="000000"/>
        </w:rPr>
      </w:pPr>
      <w:r w:rsidRPr="00DD4961">
        <w:rPr>
          <w:rFonts w:ascii="等线" w:eastAsia="等线" w:hAnsi="Times New Roman"/>
          <w:color w:val="000000"/>
        </w:rPr>
        <w:t>Advised GE on its joint venture with Chaowei Power Holdings Limited to market a sodium-nickel-chloride battery</w:t>
      </w:r>
    </w:p>
    <w:p w14:paraId="473DDF70" w14:textId="77777777" w:rsidR="00DD4961" w:rsidRDefault="00DD4961" w:rsidP="00DD4961">
      <w:pPr>
        <w:pStyle w:val="af5"/>
        <w:numPr>
          <w:ilvl w:val="0"/>
          <w:numId w:val="26"/>
        </w:numPr>
        <w:spacing w:before="120"/>
        <w:ind w:left="690" w:hanging="240"/>
        <w:rPr>
          <w:rFonts w:ascii="等线" w:eastAsia="等线" w:hAnsi="Times New Roman"/>
          <w:color w:val="000000"/>
        </w:rPr>
      </w:pPr>
      <w:r w:rsidRPr="00DD4961">
        <w:rPr>
          <w:rFonts w:ascii="等线" w:eastAsia="等线" w:hAnsi="Times New Roman"/>
          <w:color w:val="000000"/>
        </w:rPr>
        <w:t>Advised Chindex on its PRC merger control filing for the USD 461 million takeover of Chindex by a group led by private equity firm TPG and Shanghai Fosun Pharmaceutical</w:t>
      </w:r>
    </w:p>
    <w:p w14:paraId="694F3E13" w14:textId="77777777" w:rsidR="00DD4961" w:rsidRDefault="00DD4961" w:rsidP="00DD4961">
      <w:pPr>
        <w:pStyle w:val="af5"/>
        <w:numPr>
          <w:ilvl w:val="0"/>
          <w:numId w:val="27"/>
        </w:numPr>
        <w:spacing w:before="120"/>
        <w:ind w:left="690" w:hanging="240"/>
        <w:rPr>
          <w:rFonts w:ascii="等线" w:eastAsia="等线" w:hAnsi="Times New Roman"/>
          <w:color w:val="000000"/>
        </w:rPr>
      </w:pPr>
      <w:r w:rsidRPr="00DD4961">
        <w:rPr>
          <w:rFonts w:ascii="等线" w:eastAsia="等线" w:hAnsi="Times New Roman"/>
          <w:color w:val="000000"/>
        </w:rPr>
        <w:t>Advised CNPC on its PRC merger control filing for its acquisition of a Russian energy company</w:t>
      </w:r>
    </w:p>
    <w:p w14:paraId="031C2A69" w14:textId="77777777" w:rsidR="00DD4961" w:rsidRDefault="00DD4961" w:rsidP="00DD4961">
      <w:pPr>
        <w:pStyle w:val="af5"/>
        <w:numPr>
          <w:ilvl w:val="0"/>
          <w:numId w:val="28"/>
        </w:numPr>
        <w:spacing w:before="120"/>
        <w:ind w:left="690" w:hanging="240"/>
        <w:rPr>
          <w:rFonts w:ascii="等线" w:eastAsia="等线" w:hAnsi="Times New Roman"/>
          <w:color w:val="000000"/>
        </w:rPr>
      </w:pPr>
      <w:r w:rsidRPr="00DD4961">
        <w:rPr>
          <w:rFonts w:ascii="等线" w:eastAsia="等线" w:hAnsi="Times New Roman"/>
          <w:color w:val="000000"/>
        </w:rPr>
        <w:t>Advised Daimler AG on its PRC merger control filing for its carbon-fiber reinforced plastic components manufacturing joint venture with Toray and ACE and on its other antitrust matters</w:t>
      </w:r>
    </w:p>
    <w:p w14:paraId="2E92798E" w14:textId="77777777" w:rsidR="00DD4961" w:rsidRDefault="00DD4961" w:rsidP="00DD4961">
      <w:pPr>
        <w:pStyle w:val="af5"/>
        <w:numPr>
          <w:ilvl w:val="0"/>
          <w:numId w:val="29"/>
        </w:numPr>
        <w:spacing w:before="120"/>
        <w:ind w:left="690" w:hanging="240"/>
        <w:rPr>
          <w:rFonts w:ascii="等线" w:eastAsia="等线" w:hAnsi="Times New Roman"/>
          <w:color w:val="000000"/>
        </w:rPr>
      </w:pPr>
      <w:r w:rsidRPr="00DD4961">
        <w:rPr>
          <w:rFonts w:ascii="等线" w:eastAsia="等线" w:hAnsi="Times New Roman"/>
          <w:color w:val="000000"/>
        </w:rPr>
        <w:t>Advised Daimler AG and Robert Bosch on its PRC merger control filing for their joint venture for manufacturing electric motors for electric vehicles and hybrid electric vehicles</w:t>
      </w:r>
    </w:p>
    <w:p w14:paraId="28C68910" w14:textId="77777777" w:rsidR="00DD4961" w:rsidRDefault="00DD4961" w:rsidP="00DD4961">
      <w:pPr>
        <w:pStyle w:val="af5"/>
        <w:numPr>
          <w:ilvl w:val="0"/>
          <w:numId w:val="30"/>
        </w:numPr>
        <w:spacing w:before="120"/>
        <w:ind w:left="690" w:hanging="240"/>
        <w:rPr>
          <w:rFonts w:ascii="等线" w:eastAsia="等线" w:hAnsi="Times New Roman"/>
          <w:color w:val="000000"/>
        </w:rPr>
      </w:pPr>
      <w:r w:rsidRPr="00DD4961">
        <w:rPr>
          <w:rFonts w:ascii="等线" w:eastAsia="等线" w:hAnsi="Times New Roman"/>
          <w:color w:val="000000"/>
        </w:rPr>
        <w:t>Advised Davidson Kempner, GLG Partners, Centaurus Capital and Senrigan Capital on PRC merger control analysis</w:t>
      </w:r>
    </w:p>
    <w:p w14:paraId="46BEBE1F" w14:textId="77777777" w:rsidR="00DD4961" w:rsidRDefault="00DD4961" w:rsidP="00DD4961">
      <w:pPr>
        <w:pStyle w:val="af5"/>
        <w:numPr>
          <w:ilvl w:val="0"/>
          <w:numId w:val="31"/>
        </w:numPr>
        <w:spacing w:before="120"/>
        <w:ind w:left="690" w:hanging="240"/>
        <w:rPr>
          <w:rFonts w:ascii="等线" w:eastAsia="等线" w:hAnsi="Times New Roman"/>
          <w:color w:val="000000"/>
        </w:rPr>
      </w:pPr>
      <w:r w:rsidRPr="00DD4961">
        <w:rPr>
          <w:rFonts w:ascii="等线" w:eastAsia="等线" w:hAnsi="Times New Roman"/>
          <w:color w:val="000000"/>
        </w:rPr>
        <w:t>Advised Eni S.p.A. and Rosneft Oil Company on the PRC merger control filing for their joint venture for the exploration of oil and gas and for the development, production and marketing of oil and gas products</w:t>
      </w:r>
    </w:p>
    <w:p w14:paraId="01FDFF6C" w14:textId="77777777" w:rsidR="00DD4961" w:rsidRDefault="00DD4961" w:rsidP="00DD4961">
      <w:pPr>
        <w:pStyle w:val="af5"/>
        <w:numPr>
          <w:ilvl w:val="0"/>
          <w:numId w:val="32"/>
        </w:numPr>
        <w:spacing w:before="120"/>
        <w:ind w:left="690" w:hanging="240"/>
        <w:rPr>
          <w:rFonts w:ascii="等线" w:eastAsia="等线" w:hAnsi="Times New Roman"/>
          <w:color w:val="000000"/>
        </w:rPr>
      </w:pPr>
      <w:r w:rsidRPr="00DD4961">
        <w:rPr>
          <w:rFonts w:ascii="等线" w:eastAsia="等线" w:hAnsi="Times New Roman"/>
          <w:color w:val="000000"/>
        </w:rPr>
        <w:t>Advised Mahle on the PRC merger control filing for its acquisition of Behr</w:t>
      </w:r>
    </w:p>
    <w:p w14:paraId="1B520FAE" w14:textId="77777777" w:rsidR="00DD4961" w:rsidRDefault="00DD4961" w:rsidP="00DD4961">
      <w:pPr>
        <w:pStyle w:val="af5"/>
        <w:numPr>
          <w:ilvl w:val="0"/>
          <w:numId w:val="33"/>
        </w:numPr>
        <w:spacing w:before="120"/>
        <w:ind w:left="690" w:hanging="240"/>
        <w:rPr>
          <w:rFonts w:ascii="等线" w:eastAsia="等线" w:hAnsi="Times New Roman"/>
          <w:color w:val="000000"/>
        </w:rPr>
      </w:pPr>
      <w:r w:rsidRPr="00DD4961">
        <w:rPr>
          <w:rFonts w:ascii="等线" w:eastAsia="等线" w:hAnsi="Times New Roman"/>
          <w:color w:val="000000"/>
        </w:rPr>
        <w:t>Advised UGL on the PRC merger control filing for the sale of shares in DTZ to TPG</w:t>
      </w:r>
    </w:p>
    <w:p w14:paraId="5BC861A1" w14:textId="77777777" w:rsidR="00DD4961" w:rsidRDefault="00DD4961" w:rsidP="00DD4961">
      <w:pPr>
        <w:pStyle w:val="af5"/>
        <w:numPr>
          <w:ilvl w:val="0"/>
          <w:numId w:val="34"/>
        </w:numPr>
        <w:spacing w:before="120"/>
        <w:ind w:left="690" w:hanging="240"/>
        <w:rPr>
          <w:rFonts w:ascii="等线" w:eastAsia="等线" w:hAnsi="Times New Roman"/>
          <w:color w:val="000000"/>
        </w:rPr>
      </w:pPr>
      <w:r w:rsidRPr="00DD4961">
        <w:rPr>
          <w:rFonts w:ascii="等线" w:eastAsia="等线" w:hAnsi="Times New Roman"/>
          <w:color w:val="000000"/>
        </w:rPr>
        <w:t>Advised Virgin Atlantic Airlines on its PRC merger control filing for its joint venture with Delta Airlines</w:t>
      </w:r>
    </w:p>
    <w:p w14:paraId="6F9785D8" w14:textId="77777777" w:rsidR="00DD4961" w:rsidRDefault="00DD4961" w:rsidP="00DD4961">
      <w:pPr>
        <w:pStyle w:val="af5"/>
        <w:numPr>
          <w:ilvl w:val="0"/>
          <w:numId w:val="35"/>
        </w:numPr>
        <w:spacing w:before="120"/>
        <w:ind w:left="690" w:hanging="240"/>
        <w:rPr>
          <w:rFonts w:ascii="等线" w:eastAsia="等线" w:hAnsi="Times New Roman"/>
          <w:color w:val="000000"/>
        </w:rPr>
      </w:pPr>
      <w:r w:rsidRPr="00DD4961">
        <w:rPr>
          <w:rFonts w:ascii="等线" w:eastAsia="等线" w:hAnsi="Times New Roman"/>
          <w:color w:val="000000"/>
        </w:rPr>
        <w:t>Advised United Technologies Corporation on various issues under the PRC Anti-Monopoly Law in its proposed acquisition in China</w:t>
      </w:r>
    </w:p>
    <w:p w14:paraId="592EE97F" w14:textId="77777777" w:rsidR="00DD4961" w:rsidRDefault="00DD4961" w:rsidP="00DD4961">
      <w:pPr>
        <w:pStyle w:val="af5"/>
        <w:spacing w:after="0" w:line="480" w:lineRule="auto"/>
        <w:rPr>
          <w:rFonts w:ascii="等线" w:eastAsia="等线" w:hAnsi="等线"/>
          <w:b/>
          <w:sz w:val="24"/>
        </w:rPr>
      </w:pPr>
      <w:r w:rsidRPr="00DD4961">
        <w:rPr>
          <w:rFonts w:ascii="等线" w:eastAsia="等线" w:hAnsi="等线"/>
          <w:b/>
          <w:sz w:val="24"/>
        </w:rPr>
        <w:t>Education</w:t>
      </w:r>
    </w:p>
    <w:p w14:paraId="61F4EFC5" w14:textId="77777777" w:rsidR="00DD4961" w:rsidRDefault="00DD4961" w:rsidP="00DD4961">
      <w:pPr>
        <w:pStyle w:val="af5"/>
        <w:numPr>
          <w:ilvl w:val="0"/>
          <w:numId w:val="36"/>
        </w:numPr>
        <w:spacing w:before="120"/>
        <w:ind w:left="690" w:hanging="240"/>
        <w:rPr>
          <w:rFonts w:ascii="等线" w:eastAsia="等线" w:hAnsi="Times New Roman"/>
          <w:color w:val="000000"/>
        </w:rPr>
      </w:pPr>
      <w:r w:rsidRPr="00DD4961">
        <w:rPr>
          <w:rFonts w:ascii="等线" w:eastAsia="等线" w:hAnsi="Times New Roman"/>
          <w:color w:val="000000"/>
        </w:rPr>
        <w:t>Peking University, School of Law, LL.M.</w:t>
      </w:r>
    </w:p>
    <w:p w14:paraId="33D2796B" w14:textId="77777777" w:rsidR="00DD4961" w:rsidRDefault="00DD4961" w:rsidP="00DD4961">
      <w:pPr>
        <w:pStyle w:val="af5"/>
        <w:numPr>
          <w:ilvl w:val="0"/>
          <w:numId w:val="37"/>
        </w:numPr>
        <w:spacing w:before="120"/>
        <w:ind w:left="690" w:hanging="240"/>
        <w:rPr>
          <w:rFonts w:ascii="等线" w:eastAsia="等线" w:hAnsi="Times New Roman"/>
          <w:color w:val="000000"/>
        </w:rPr>
      </w:pPr>
      <w:r w:rsidRPr="00DD4961">
        <w:rPr>
          <w:rFonts w:ascii="等线" w:eastAsia="等线" w:hAnsi="Times New Roman"/>
          <w:color w:val="000000"/>
        </w:rPr>
        <w:t>Renmin University of China, School of Law, LL.B.</w:t>
      </w:r>
    </w:p>
    <w:p w14:paraId="2864724C" w14:textId="77777777" w:rsidR="00DD4961" w:rsidRDefault="00DD4961" w:rsidP="00DD4961">
      <w:pPr>
        <w:pStyle w:val="af5"/>
        <w:spacing w:after="0" w:line="480" w:lineRule="auto"/>
        <w:rPr>
          <w:rFonts w:ascii="等线" w:eastAsia="等线" w:hAnsi="等线"/>
          <w:b/>
          <w:sz w:val="24"/>
        </w:rPr>
      </w:pPr>
      <w:r w:rsidRPr="00DD4961">
        <w:rPr>
          <w:rFonts w:ascii="等线" w:eastAsia="等线" w:hAnsi="等线"/>
          <w:b/>
          <w:sz w:val="24"/>
        </w:rPr>
        <w:t>Professional Qualification</w:t>
      </w:r>
    </w:p>
    <w:p w14:paraId="238F8A1A" w14:textId="77777777" w:rsidR="00DD4961" w:rsidRDefault="00DD4961" w:rsidP="00DD4961">
      <w:pPr>
        <w:pStyle w:val="af5"/>
        <w:numPr>
          <w:ilvl w:val="0"/>
          <w:numId w:val="38"/>
        </w:numPr>
        <w:spacing w:before="120"/>
        <w:ind w:left="690" w:hanging="240"/>
        <w:rPr>
          <w:rFonts w:ascii="等线" w:eastAsia="等线" w:hAnsi="Times New Roman"/>
          <w:color w:val="000000"/>
        </w:rPr>
      </w:pPr>
      <w:r w:rsidRPr="00DD4961">
        <w:rPr>
          <w:rFonts w:ascii="等线" w:eastAsia="等线" w:hAnsi="Times New Roman"/>
          <w:color w:val="000000"/>
        </w:rPr>
        <w:t>Admitted to practice in the PRC</w:t>
      </w:r>
    </w:p>
    <w:p w14:paraId="4FC55306" w14:textId="77777777" w:rsidR="00DD4961" w:rsidRDefault="00DD4961" w:rsidP="00DD4961">
      <w:pPr>
        <w:pStyle w:val="af5"/>
        <w:numPr>
          <w:ilvl w:val="0"/>
          <w:numId w:val="39"/>
        </w:numPr>
        <w:spacing w:before="120"/>
        <w:ind w:left="690" w:hanging="240"/>
        <w:rPr>
          <w:rFonts w:ascii="等线" w:eastAsia="等线" w:hAnsi="Times New Roman"/>
          <w:color w:val="000000"/>
        </w:rPr>
      </w:pPr>
      <w:r w:rsidRPr="00DD4961">
        <w:rPr>
          <w:rFonts w:ascii="等线" w:eastAsia="等线" w:hAnsi="Times New Roman"/>
          <w:color w:val="000000"/>
        </w:rPr>
        <w:t>Registered Foreign Lawyer in Hong Kong SAR</w:t>
      </w:r>
    </w:p>
    <w:p w14:paraId="281E0BDD" w14:textId="77777777" w:rsidR="00DD4961" w:rsidRDefault="00DD4961" w:rsidP="00DD4961">
      <w:pPr>
        <w:pStyle w:val="af5"/>
        <w:spacing w:after="0" w:line="480" w:lineRule="auto"/>
        <w:rPr>
          <w:rFonts w:ascii="等线" w:eastAsia="等线" w:hAnsi="等线"/>
          <w:b/>
          <w:sz w:val="24"/>
        </w:rPr>
      </w:pPr>
      <w:r w:rsidRPr="00DD4961">
        <w:rPr>
          <w:rFonts w:ascii="等线" w:eastAsia="等线" w:hAnsi="等线"/>
          <w:b/>
          <w:sz w:val="24"/>
        </w:rPr>
        <w:t>Work Language</w:t>
      </w:r>
    </w:p>
    <w:p w14:paraId="507CBCE1" w14:textId="77777777" w:rsidR="00DD4961" w:rsidRDefault="00DD4961" w:rsidP="00DD4961">
      <w:pPr>
        <w:pStyle w:val="af5"/>
        <w:numPr>
          <w:ilvl w:val="0"/>
          <w:numId w:val="40"/>
        </w:numPr>
        <w:spacing w:before="120"/>
        <w:ind w:left="690" w:hanging="240"/>
        <w:rPr>
          <w:rFonts w:ascii="等线" w:eastAsia="等线" w:hAnsi="Times New Roman"/>
          <w:color w:val="000000"/>
        </w:rPr>
      </w:pPr>
      <w:r w:rsidRPr="00DD4961">
        <w:rPr>
          <w:rFonts w:ascii="等线" w:eastAsia="等线" w:hAnsi="Times New Roman"/>
          <w:color w:val="000000"/>
        </w:rPr>
        <w:t>Chinese</w:t>
      </w:r>
    </w:p>
    <w:p w14:paraId="77370E80" w14:textId="77777777" w:rsidR="00DD4961" w:rsidRDefault="00DD4961" w:rsidP="00DD4961">
      <w:pPr>
        <w:pStyle w:val="af5"/>
        <w:numPr>
          <w:ilvl w:val="0"/>
          <w:numId w:val="41"/>
        </w:numPr>
        <w:spacing w:before="120"/>
        <w:ind w:left="690" w:hanging="240"/>
        <w:rPr>
          <w:rFonts w:ascii="等线" w:eastAsia="等线" w:hAnsi="Times New Roman"/>
          <w:color w:val="000000"/>
        </w:rPr>
      </w:pPr>
      <w:r w:rsidRPr="00DD4961">
        <w:rPr>
          <w:rFonts w:ascii="等线" w:eastAsia="等线" w:hAnsi="Times New Roman"/>
          <w:color w:val="000000"/>
        </w:rPr>
        <w:t>English</w:t>
      </w:r>
    </w:p>
    <w:p w14:paraId="616F4477" w14:textId="77777777" w:rsidR="00DD4961" w:rsidRDefault="00DD4961" w:rsidP="00DD4961">
      <w:pPr>
        <w:pStyle w:val="af5"/>
        <w:spacing w:after="0" w:line="480" w:lineRule="auto"/>
        <w:rPr>
          <w:rFonts w:ascii="等线" w:eastAsia="等线" w:hAnsi="等线"/>
          <w:b/>
          <w:sz w:val="24"/>
        </w:rPr>
      </w:pPr>
      <w:r w:rsidRPr="00DD4961">
        <w:rPr>
          <w:rFonts w:ascii="等线" w:eastAsia="等线" w:hAnsi="等线"/>
          <w:b/>
          <w:sz w:val="24"/>
        </w:rPr>
        <w:t>Professional Background</w:t>
      </w:r>
    </w:p>
    <w:p w14:paraId="5567FC3C" w14:textId="04A284A4" w:rsidR="00686369" w:rsidRPr="00DD4961" w:rsidRDefault="00DD4961" w:rsidP="00DD4961">
      <w:pPr>
        <w:pStyle w:val="af5"/>
        <w:numPr>
          <w:ilvl w:val="0"/>
          <w:numId w:val="42"/>
        </w:numPr>
        <w:spacing w:before="120"/>
        <w:ind w:left="690" w:hanging="240"/>
        <w:rPr>
          <w:rFonts w:ascii="等线" w:eastAsia="等线" w:hAnsi="Times New Roman"/>
          <w:color w:val="000000"/>
        </w:rPr>
      </w:pPr>
      <w:r w:rsidRPr="00DD4961">
        <w:rPr>
          <w:rFonts w:ascii="等线" w:eastAsia="等线" w:hAnsi="Times New Roman"/>
          <w:color w:val="000000"/>
        </w:rPr>
        <w:t>Before joining the firm, Ms. Wang worked in the Beijing office of a leading international law firm for five years.</w:t>
      </w:r>
    </w:p>
    <w:sectPr w:rsidR="00686369" w:rsidRPr="00DD496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21951"/>
    <w:multiLevelType w:val="singleLevel"/>
    <w:tmpl w:val="DDE084B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9704CC"/>
    <w:multiLevelType w:val="singleLevel"/>
    <w:tmpl w:val="74A0C3C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E087338"/>
    <w:multiLevelType w:val="singleLevel"/>
    <w:tmpl w:val="8FE6CD7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021737B"/>
    <w:multiLevelType w:val="singleLevel"/>
    <w:tmpl w:val="D38C383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08B4D93"/>
    <w:multiLevelType w:val="singleLevel"/>
    <w:tmpl w:val="6194C1B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12C7DFC"/>
    <w:multiLevelType w:val="singleLevel"/>
    <w:tmpl w:val="A094B59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19A7E5B"/>
    <w:multiLevelType w:val="singleLevel"/>
    <w:tmpl w:val="EF42804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3E438FD"/>
    <w:multiLevelType w:val="singleLevel"/>
    <w:tmpl w:val="59FA22E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93A0EC5"/>
    <w:multiLevelType w:val="singleLevel"/>
    <w:tmpl w:val="37C86DF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93C4B94"/>
    <w:multiLevelType w:val="singleLevel"/>
    <w:tmpl w:val="1624D06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A0A34E6"/>
    <w:multiLevelType w:val="singleLevel"/>
    <w:tmpl w:val="B85C1D2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AAE35E2"/>
    <w:multiLevelType w:val="singleLevel"/>
    <w:tmpl w:val="79D8D00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04F2175"/>
    <w:multiLevelType w:val="singleLevel"/>
    <w:tmpl w:val="153E379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2067218"/>
    <w:multiLevelType w:val="singleLevel"/>
    <w:tmpl w:val="560C801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2D33515"/>
    <w:multiLevelType w:val="singleLevel"/>
    <w:tmpl w:val="E67EF8F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5795D64"/>
    <w:multiLevelType w:val="singleLevel"/>
    <w:tmpl w:val="A6A2304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D5C67C5"/>
    <w:multiLevelType w:val="singleLevel"/>
    <w:tmpl w:val="E6F021D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15F4182"/>
    <w:multiLevelType w:val="singleLevel"/>
    <w:tmpl w:val="BFA21ED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44F6E3B"/>
    <w:multiLevelType w:val="singleLevel"/>
    <w:tmpl w:val="E7B4A41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563472F"/>
    <w:multiLevelType w:val="singleLevel"/>
    <w:tmpl w:val="014AD92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3C05503E"/>
    <w:multiLevelType w:val="singleLevel"/>
    <w:tmpl w:val="25965B6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0E24FA4"/>
    <w:multiLevelType w:val="singleLevel"/>
    <w:tmpl w:val="AA6A35D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68A6A61"/>
    <w:multiLevelType w:val="singleLevel"/>
    <w:tmpl w:val="8422839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7F95CB7"/>
    <w:multiLevelType w:val="singleLevel"/>
    <w:tmpl w:val="59F4380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9020F45"/>
    <w:multiLevelType w:val="singleLevel"/>
    <w:tmpl w:val="E2A2038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1795766"/>
    <w:multiLevelType w:val="singleLevel"/>
    <w:tmpl w:val="B65212F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31A407B"/>
    <w:multiLevelType w:val="singleLevel"/>
    <w:tmpl w:val="FC3061B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8CB1B7B"/>
    <w:multiLevelType w:val="singleLevel"/>
    <w:tmpl w:val="95CEA19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C5033BC"/>
    <w:multiLevelType w:val="singleLevel"/>
    <w:tmpl w:val="F9000B4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3FF6B2F"/>
    <w:multiLevelType w:val="singleLevel"/>
    <w:tmpl w:val="2F00960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A3B3788"/>
    <w:multiLevelType w:val="singleLevel"/>
    <w:tmpl w:val="EFA05DD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A6272F4"/>
    <w:multiLevelType w:val="singleLevel"/>
    <w:tmpl w:val="40BA9E0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E811BD8"/>
    <w:multiLevelType w:val="singleLevel"/>
    <w:tmpl w:val="F0DCBCC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EBB4656"/>
    <w:multiLevelType w:val="singleLevel"/>
    <w:tmpl w:val="AA1C994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27D7EFD"/>
    <w:multiLevelType w:val="singleLevel"/>
    <w:tmpl w:val="7F8ED20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7EC735D"/>
    <w:multiLevelType w:val="singleLevel"/>
    <w:tmpl w:val="F1A4DB4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A7D68F5"/>
    <w:multiLevelType w:val="singleLevel"/>
    <w:tmpl w:val="DBA0424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C8F4B02"/>
    <w:multiLevelType w:val="singleLevel"/>
    <w:tmpl w:val="339C3DB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D822B50"/>
    <w:multiLevelType w:val="singleLevel"/>
    <w:tmpl w:val="4974533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EF13094"/>
    <w:multiLevelType w:val="singleLevel"/>
    <w:tmpl w:val="D38C383E"/>
    <w:lvl w:ilvl="0">
      <w:start w:val="1"/>
      <w:numFmt w:val="bullet"/>
      <w:lvlText w:val=""/>
      <w:lvlJc w:val="left"/>
      <w:pPr>
        <w:tabs>
          <w:tab w:val="num" w:pos="200"/>
        </w:tabs>
        <w:ind w:left="200" w:hanging="200"/>
      </w:pPr>
      <w:rPr>
        <w:rFonts w:ascii="Wingdings" w:hAnsi="Wingdings" w:hint="default"/>
        <w:sz w:val="16"/>
      </w:rPr>
    </w:lvl>
  </w:abstractNum>
  <w:num w:numId="1">
    <w:abstractNumId w:val="17"/>
  </w:num>
  <w:num w:numId="2">
    <w:abstractNumId w:val="21"/>
  </w:num>
  <w:num w:numId="3">
    <w:abstractNumId w:val="40"/>
  </w:num>
  <w:num w:numId="4">
    <w:abstractNumId w:val="6"/>
  </w:num>
  <w:num w:numId="5">
    <w:abstractNumId w:val="9"/>
  </w:num>
  <w:num w:numId="6">
    <w:abstractNumId w:val="34"/>
  </w:num>
  <w:num w:numId="7">
    <w:abstractNumId w:val="32"/>
  </w:num>
  <w:num w:numId="8">
    <w:abstractNumId w:val="31"/>
  </w:num>
  <w:num w:numId="9">
    <w:abstractNumId w:val="38"/>
  </w:num>
  <w:num w:numId="10">
    <w:abstractNumId w:val="15"/>
  </w:num>
  <w:num w:numId="11">
    <w:abstractNumId w:val="10"/>
  </w:num>
  <w:num w:numId="12">
    <w:abstractNumId w:val="0"/>
  </w:num>
  <w:num w:numId="13">
    <w:abstractNumId w:val="2"/>
  </w:num>
  <w:num w:numId="14">
    <w:abstractNumId w:val="16"/>
  </w:num>
  <w:num w:numId="15">
    <w:abstractNumId w:val="12"/>
  </w:num>
  <w:num w:numId="16">
    <w:abstractNumId w:val="8"/>
  </w:num>
  <w:num w:numId="17">
    <w:abstractNumId w:val="5"/>
  </w:num>
  <w:num w:numId="18">
    <w:abstractNumId w:val="26"/>
  </w:num>
  <w:num w:numId="19">
    <w:abstractNumId w:val="36"/>
  </w:num>
  <w:num w:numId="20">
    <w:abstractNumId w:val="39"/>
  </w:num>
  <w:num w:numId="21">
    <w:abstractNumId w:val="7"/>
  </w:num>
  <w:num w:numId="22">
    <w:abstractNumId w:val="29"/>
  </w:num>
  <w:num w:numId="23">
    <w:abstractNumId w:val="28"/>
  </w:num>
  <w:num w:numId="24">
    <w:abstractNumId w:val="33"/>
  </w:num>
  <w:num w:numId="25">
    <w:abstractNumId w:val="18"/>
  </w:num>
  <w:num w:numId="26">
    <w:abstractNumId w:val="27"/>
  </w:num>
  <w:num w:numId="27">
    <w:abstractNumId w:val="1"/>
  </w:num>
  <w:num w:numId="28">
    <w:abstractNumId w:val="11"/>
  </w:num>
  <w:num w:numId="29">
    <w:abstractNumId w:val="20"/>
  </w:num>
  <w:num w:numId="30">
    <w:abstractNumId w:val="30"/>
  </w:num>
  <w:num w:numId="31">
    <w:abstractNumId w:val="13"/>
  </w:num>
  <w:num w:numId="32">
    <w:abstractNumId w:val="22"/>
  </w:num>
  <w:num w:numId="33">
    <w:abstractNumId w:val="14"/>
  </w:num>
  <w:num w:numId="34">
    <w:abstractNumId w:val="23"/>
  </w:num>
  <w:num w:numId="35">
    <w:abstractNumId w:val="4"/>
  </w:num>
  <w:num w:numId="36">
    <w:abstractNumId w:val="35"/>
  </w:num>
  <w:num w:numId="37">
    <w:abstractNumId w:val="37"/>
  </w:num>
  <w:num w:numId="38">
    <w:abstractNumId w:val="24"/>
  </w:num>
  <w:num w:numId="39">
    <w:abstractNumId w:val="25"/>
  </w:num>
  <w:num w:numId="40">
    <w:abstractNumId w:val="19"/>
  </w:num>
  <w:num w:numId="41">
    <w:abstractNumId w:val="41"/>
  </w:num>
  <w:num w:numId="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D4961"/>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D4961"/>
    <w:pPr>
      <w:spacing w:after="120"/>
    </w:pPr>
  </w:style>
  <w:style w:type="character" w:customStyle="1" w:styleId="af6">
    <w:name w:val="正文文本 字符"/>
    <w:basedOn w:val="a0"/>
    <w:link w:val="af5"/>
    <w:uiPriority w:val="99"/>
    <w:rsid w:val="00DD496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D61894-6188-4313-9C97-B377A04C4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798</Words>
  <Characters>4553</Characters>
  <Application>Microsoft Office Word</Application>
  <DocSecurity>0</DocSecurity>
  <Lines>37</Lines>
  <Paragraphs>10</Paragraphs>
  <ScaleCrop>false</ScaleCrop>
  <Company/>
  <LinksUpToDate>false</LinksUpToDate>
  <CharactersWithSpaces>5341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2026-10-28T08:01:00Z</dcterms:created>
  <dcterms:modified xsi:type="dcterms:W3CDTF">2026-10-28T08:01:00Z</dcterms:modified>
</cp:coreProperties>
</file>