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A4447F0" w:rsidR="0049405C" w:rsidRPr="00C24D79" w:rsidRDefault="00C81FE3" w:rsidP="00C81FE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81FE3">
              <w:rPr>
                <w:rFonts w:ascii="等线" w:eastAsia="等线" w:hAnsi="Times New Roman"/>
                <w:b/>
                <w:color w:val="000000"/>
                <w:sz w:val="48"/>
              </w:rPr>
              <w:t>BIVIO YU</w:t>
            </w:r>
            <w:bookmarkEnd w:id="0"/>
          </w:p>
          <w:p w14:paraId="706EB16B" w14:textId="08889EF4" w:rsidR="0049405C" w:rsidRPr="00C24D79" w:rsidRDefault="00C81FE3" w:rsidP="00C81FE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81FE3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81FE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81FE3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C46A52B" w:rsidR="0049405C" w:rsidRPr="00C24D79" w:rsidRDefault="00C81FE3" w:rsidP="00C81FE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81FE3">
              <w:rPr>
                <w:rFonts w:ascii="等线" w:eastAsia="等线" w:hAnsi="Times New Roman"/>
                <w:color w:val="000000"/>
              </w:rPr>
              <w:t xml:space="preserve">+86 10 5769 4206 </w:t>
            </w:r>
            <w:bookmarkEnd w:id="3"/>
          </w:p>
          <w:p w14:paraId="4F910ACA" w14:textId="3D3B5B1B" w:rsidR="0049405C" w:rsidRPr="00C24D79" w:rsidRDefault="00C81FE3" w:rsidP="00C81FE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81FE3">
              <w:rPr>
                <w:rFonts w:ascii="等线" w:eastAsia="等线" w:hAnsi="Times New Roman"/>
                <w:color w:val="000000"/>
              </w:rPr>
              <w:t>bivio.yu@fangdalaw.com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1BFBCD5" w:rsidR="0049405C" w:rsidRPr="00C24D79" w:rsidRDefault="00C81FE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3BC3AF3" wp14:editId="41AC98B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922F7A5" w:rsidR="009465FB" w:rsidRPr="00C24D79" w:rsidRDefault="00C81FE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81FE3">
              <w:rPr>
                <w:rFonts w:ascii="等线" w:eastAsia="等线" w:hAnsi="Times New Roman"/>
                <w:color w:val="000000"/>
                <w:szCs w:val="21"/>
              </w:rPr>
              <w:t>MS. BIVIO YU SPECIALIZES IN ANTI-TRUST AND COMPETITION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6C91D2A" w14:textId="77777777" w:rsidR="00C81FE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172B3A" w14:textId="77777777" w:rsidR="00C81FE3" w:rsidRDefault="00C81FE3" w:rsidP="00C81F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81FE3">
        <w:rPr>
          <w:rFonts w:ascii="等线" w:eastAsia="等线" w:hAnsi="等线"/>
          <w:b/>
          <w:sz w:val="24"/>
        </w:rPr>
        <w:t>REPRESENTATIVE MATTERS AND CASES</w:t>
      </w:r>
    </w:p>
    <w:p w14:paraId="5C6ECB48" w14:textId="77777777" w:rsidR="00C81FE3" w:rsidRDefault="00C81FE3" w:rsidP="00C81FE3">
      <w:pPr>
        <w:pStyle w:val="af5"/>
        <w:spacing w:before="12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PRC Merger Control</w:t>
      </w:r>
    </w:p>
    <w:p w14:paraId="0EC2ACEC" w14:textId="77777777" w:rsidR="00C81FE3" w:rsidRDefault="00C81FE3" w:rsidP="00C81FE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Represented The Boeing Company on the China merger filing for its acquistion of Embraer S.A.</w:t>
      </w:r>
      <w:r w:rsidRPr="00C81FE3">
        <w:rPr>
          <w:rFonts w:ascii="等线" w:eastAsia="等线" w:hAnsi="Times New Roman"/>
          <w:color w:val="000000"/>
        </w:rPr>
        <w:t>’</w:t>
      </w:r>
      <w:r w:rsidRPr="00C81FE3">
        <w:rPr>
          <w:rFonts w:ascii="等线" w:eastAsia="等线" w:hAnsi="Times New Roman"/>
          <w:color w:val="000000"/>
        </w:rPr>
        <w:t>s commercial aviation business</w:t>
      </w:r>
    </w:p>
    <w:p w14:paraId="1D7B698C" w14:textId="77777777" w:rsidR="00C81FE3" w:rsidRDefault="00C81FE3" w:rsidP="00C81FE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Represented Rockwell Collins, Inc. on the China merger control filing for its acquisition by United Technologies Corporation</w:t>
      </w:r>
    </w:p>
    <w:p w14:paraId="4BEF2FC9" w14:textId="77777777" w:rsidR="00C81FE3" w:rsidRDefault="00C81FE3" w:rsidP="00C81FE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Advised The Walt Disney Company and 21st Century Fox, Inc. on the China merger control filing for Disney</w:t>
      </w:r>
      <w:r w:rsidRPr="00C81FE3">
        <w:rPr>
          <w:rFonts w:ascii="等线" w:eastAsia="等线" w:hAnsi="Times New Roman"/>
          <w:color w:val="000000"/>
        </w:rPr>
        <w:t>’</w:t>
      </w:r>
      <w:r w:rsidRPr="00C81FE3">
        <w:rPr>
          <w:rFonts w:ascii="等线" w:eastAsia="等线" w:hAnsi="Times New Roman"/>
          <w:color w:val="000000"/>
        </w:rPr>
        <w:t>s acquisition of Fox</w:t>
      </w:r>
    </w:p>
    <w:p w14:paraId="58C52C2F" w14:textId="77777777" w:rsidR="00C81FE3" w:rsidRDefault="00C81FE3" w:rsidP="00C81FE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Advised The Boeing Company on the China merger control filing for its establishment of a joint venture with Safran S.A., a tier-1 supplier of systems and equipment in the aerospace and defense markets, for the manufacture of aircraft axillary power units</w:t>
      </w:r>
    </w:p>
    <w:p w14:paraId="05068766" w14:textId="77777777" w:rsidR="00C81FE3" w:rsidRDefault="00C81FE3" w:rsidP="00C81FE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Advised The Boeing Company on the China merger control filing for its establishment of a joint venture with Adient, a leading automotive seating maker, for the manufacture of aircraft seating</w:t>
      </w:r>
    </w:p>
    <w:p w14:paraId="6792B1AE" w14:textId="77777777" w:rsidR="00C81FE3" w:rsidRDefault="00C81FE3" w:rsidP="00C81FE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Advised both Thales and Gemalto on the China merger control filing for Thales</w:t>
      </w:r>
      <w:r w:rsidRPr="00C81FE3">
        <w:rPr>
          <w:rFonts w:ascii="等线" w:eastAsia="等线" w:hAnsi="Times New Roman"/>
          <w:color w:val="000000"/>
        </w:rPr>
        <w:t>’</w:t>
      </w:r>
      <w:r w:rsidRPr="00C81FE3">
        <w:rPr>
          <w:rFonts w:ascii="等线" w:eastAsia="等线" w:hAnsi="Times New Roman"/>
          <w:color w:val="000000"/>
        </w:rPr>
        <w:t xml:space="preserve">s acquisition of Gemalto </w:t>
      </w:r>
      <w:r w:rsidRPr="00C81FE3">
        <w:rPr>
          <w:rFonts w:ascii="等线" w:eastAsia="等线" w:hAnsi="Times New Roman"/>
          <w:color w:val="000000"/>
        </w:rPr>
        <w:t>—</w:t>
      </w:r>
      <w:r w:rsidRPr="00C81FE3">
        <w:rPr>
          <w:rFonts w:ascii="等线" w:eastAsia="等线" w:hAnsi="Times New Roman"/>
          <w:color w:val="000000"/>
        </w:rPr>
        <w:t xml:space="preserve"> a transaction intending to create a world leader in digital security</w:t>
      </w:r>
    </w:p>
    <w:p w14:paraId="6AD38814" w14:textId="77777777" w:rsidR="00C81FE3" w:rsidRDefault="00C81FE3" w:rsidP="00C81FE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Advised The Boeing Company on the China merger control filing for its establishment of a joint venture with Chinese airframer COMAC for the provision of completions services for 737 MAX in China</w:t>
      </w:r>
    </w:p>
    <w:p w14:paraId="7CF95095" w14:textId="77777777" w:rsidR="00C81FE3" w:rsidRDefault="00C81FE3" w:rsidP="00C81FE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 xml:space="preserve">Represented Orient Overseas (International) Limited on the China merger control filing for its acquisition by COSCO Shipping Holdings Co., Ltd </w:t>
      </w:r>
      <w:r w:rsidRPr="00C81FE3">
        <w:rPr>
          <w:rFonts w:ascii="等线" w:eastAsia="等线" w:hAnsi="Times New Roman"/>
          <w:color w:val="000000"/>
        </w:rPr>
        <w:t>—</w:t>
      </w:r>
      <w:r w:rsidRPr="00C81FE3">
        <w:rPr>
          <w:rFonts w:ascii="等线" w:eastAsia="等线" w:hAnsi="Times New Roman"/>
          <w:color w:val="000000"/>
        </w:rPr>
        <w:t xml:space="preserve"> an acquisition that will make the Chinese shipping giant the world</w:t>
      </w:r>
      <w:r w:rsidRPr="00C81FE3">
        <w:rPr>
          <w:rFonts w:ascii="等线" w:eastAsia="等线" w:hAnsi="Times New Roman"/>
          <w:color w:val="000000"/>
        </w:rPr>
        <w:t>’</w:t>
      </w:r>
      <w:r w:rsidRPr="00C81FE3">
        <w:rPr>
          <w:rFonts w:ascii="等线" w:eastAsia="等线" w:hAnsi="Times New Roman"/>
          <w:color w:val="000000"/>
        </w:rPr>
        <w:t>s third-largest container shipping line</w:t>
      </w:r>
    </w:p>
    <w:p w14:paraId="27EE7E72" w14:textId="77777777" w:rsidR="00C81FE3" w:rsidRDefault="00C81FE3" w:rsidP="00C81FE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 xml:space="preserve">Advised the two largest steelmakers in China </w:t>
      </w:r>
      <w:r w:rsidRPr="00C81FE3">
        <w:rPr>
          <w:rFonts w:ascii="等线" w:eastAsia="等线" w:hAnsi="Times New Roman"/>
          <w:color w:val="000000"/>
        </w:rPr>
        <w:t>—</w:t>
      </w:r>
      <w:r w:rsidRPr="00C81FE3">
        <w:rPr>
          <w:rFonts w:ascii="等线" w:eastAsia="等线" w:hAnsi="Times New Roman"/>
          <w:color w:val="000000"/>
        </w:rPr>
        <w:t xml:space="preserve"> BaoSteel and WISCO </w:t>
      </w:r>
      <w:r w:rsidRPr="00C81FE3">
        <w:rPr>
          <w:rFonts w:ascii="等线" w:eastAsia="等线" w:hAnsi="Times New Roman"/>
          <w:color w:val="000000"/>
        </w:rPr>
        <w:t>—</w:t>
      </w:r>
      <w:r w:rsidRPr="00C81FE3">
        <w:rPr>
          <w:rFonts w:ascii="等线" w:eastAsia="等线" w:hAnsi="Times New Roman"/>
          <w:color w:val="000000"/>
        </w:rPr>
        <w:t xml:space="preserve"> on the China merger control filing for their merger into Baowu Group and its acquisition of majority stake of Ma Steel</w:t>
      </w:r>
    </w:p>
    <w:p w14:paraId="6596F39C" w14:textId="77777777" w:rsidR="00C81FE3" w:rsidRDefault="00C81FE3" w:rsidP="00C81FE3">
      <w:pPr>
        <w:pStyle w:val="af5"/>
        <w:spacing w:before="12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Antitrust Investigation</w:t>
      </w:r>
    </w:p>
    <w:p w14:paraId="6F7E660F" w14:textId="77777777" w:rsidR="00C81FE3" w:rsidRDefault="00C81FE3" w:rsidP="00C81FE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Advised several auto makers in the PRC antitrust authority investigations</w:t>
      </w:r>
    </w:p>
    <w:p w14:paraId="05051054" w14:textId="77777777" w:rsidR="00C81FE3" w:rsidRDefault="00C81FE3" w:rsidP="00C81FE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Advised a global leading high-tech company in handling an antitrust investigation by the PRC antitrust authority</w:t>
      </w:r>
    </w:p>
    <w:p w14:paraId="0EB50854" w14:textId="77777777" w:rsidR="00C81FE3" w:rsidRDefault="00C81FE3" w:rsidP="00C81FE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Advised an international headphone company in an antitrust investigation by the PRC antitrust authority</w:t>
      </w:r>
    </w:p>
    <w:p w14:paraId="3071569D" w14:textId="77777777" w:rsidR="00C81FE3" w:rsidRDefault="00C81FE3" w:rsidP="00C81FE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Advised an international medical device company in an antitrust investigation by the PRC antitrust authority</w:t>
      </w:r>
    </w:p>
    <w:p w14:paraId="09D168E8" w14:textId="77777777" w:rsidR="00C81FE3" w:rsidRDefault="00C81FE3" w:rsidP="00C81FE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andAdvised an international chemical company in an antitrust investigation by the PRC antitrust authority</w:t>
      </w:r>
    </w:p>
    <w:p w14:paraId="3BA9358C" w14:textId="77777777" w:rsidR="00C81FE3" w:rsidRDefault="00C81FE3" w:rsidP="00C81F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81FE3">
        <w:rPr>
          <w:rFonts w:ascii="等线" w:eastAsia="等线" w:hAnsi="等线"/>
          <w:b/>
          <w:sz w:val="24"/>
        </w:rPr>
        <w:t>Education</w:t>
      </w:r>
    </w:p>
    <w:p w14:paraId="06E0AB1E" w14:textId="77777777" w:rsidR="00C81FE3" w:rsidRDefault="00C81FE3" w:rsidP="00C81FE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University College London, LL.M.</w:t>
      </w:r>
    </w:p>
    <w:p w14:paraId="2B90A7C5" w14:textId="77777777" w:rsidR="00C81FE3" w:rsidRDefault="00C81FE3" w:rsidP="00C81FE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School of Oriental and African Studies, University of London, LL.B.</w:t>
      </w:r>
    </w:p>
    <w:p w14:paraId="15235C82" w14:textId="77777777" w:rsidR="00C81FE3" w:rsidRDefault="00C81FE3" w:rsidP="00C81F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81FE3">
        <w:rPr>
          <w:rFonts w:ascii="等线" w:eastAsia="等线" w:hAnsi="等线"/>
          <w:b/>
          <w:sz w:val="24"/>
        </w:rPr>
        <w:t>Professional Qualification</w:t>
      </w:r>
    </w:p>
    <w:p w14:paraId="17329DE7" w14:textId="77777777" w:rsidR="00C81FE3" w:rsidRDefault="00C81FE3" w:rsidP="00C81FE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Admitted to practice in the PRC</w:t>
      </w:r>
    </w:p>
    <w:p w14:paraId="427F6288" w14:textId="77777777" w:rsidR="00C81FE3" w:rsidRDefault="00C81FE3" w:rsidP="00C81FE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Admitted to practice in New York</w:t>
      </w:r>
    </w:p>
    <w:p w14:paraId="5568E4C5" w14:textId="77777777" w:rsidR="00C81FE3" w:rsidRDefault="00C81FE3" w:rsidP="00C81F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81FE3">
        <w:rPr>
          <w:rFonts w:ascii="等线" w:eastAsia="等线" w:hAnsi="等线"/>
          <w:b/>
          <w:sz w:val="24"/>
        </w:rPr>
        <w:t>Professional Background</w:t>
      </w:r>
    </w:p>
    <w:p w14:paraId="5567FC3C" w14:textId="341D4311" w:rsidR="00686369" w:rsidRPr="00C81FE3" w:rsidRDefault="00C81FE3" w:rsidP="00C81FE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1FE3">
        <w:rPr>
          <w:rFonts w:ascii="等线" w:eastAsia="等线" w:hAnsi="Times New Roman"/>
          <w:color w:val="000000"/>
        </w:rPr>
        <w:t>Ms. Bivio Yu joined the firm in 2015. Before joining the firm, she worked for several international law firms and PRC law firms, including the D.C. office of a leading US firm.</w:t>
      </w:r>
    </w:p>
    <w:sectPr w:rsidR="00686369" w:rsidRPr="00C81FE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342"/>
    <w:multiLevelType w:val="singleLevel"/>
    <w:tmpl w:val="FE98C4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074561"/>
    <w:multiLevelType w:val="singleLevel"/>
    <w:tmpl w:val="A128F6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8A6F23"/>
    <w:multiLevelType w:val="singleLevel"/>
    <w:tmpl w:val="C06206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414B11"/>
    <w:multiLevelType w:val="singleLevel"/>
    <w:tmpl w:val="31282B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5B18D6"/>
    <w:multiLevelType w:val="singleLevel"/>
    <w:tmpl w:val="98C06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ED3629"/>
    <w:multiLevelType w:val="singleLevel"/>
    <w:tmpl w:val="C34273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5B0AE8"/>
    <w:multiLevelType w:val="singleLevel"/>
    <w:tmpl w:val="B2002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7C5DB4"/>
    <w:multiLevelType w:val="singleLevel"/>
    <w:tmpl w:val="4E385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3AB3318"/>
    <w:multiLevelType w:val="singleLevel"/>
    <w:tmpl w:val="457C35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49E166D"/>
    <w:multiLevelType w:val="singleLevel"/>
    <w:tmpl w:val="75363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A0A2AE8"/>
    <w:multiLevelType w:val="singleLevel"/>
    <w:tmpl w:val="88FCC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D8475F5"/>
    <w:multiLevelType w:val="singleLevel"/>
    <w:tmpl w:val="BAB4F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18116EF"/>
    <w:multiLevelType w:val="singleLevel"/>
    <w:tmpl w:val="24682B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3BF7D50"/>
    <w:multiLevelType w:val="singleLevel"/>
    <w:tmpl w:val="A3DE0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6EB2C1D"/>
    <w:multiLevelType w:val="singleLevel"/>
    <w:tmpl w:val="2474C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D3D4342"/>
    <w:multiLevelType w:val="singleLevel"/>
    <w:tmpl w:val="830625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D722BCB"/>
    <w:multiLevelType w:val="singleLevel"/>
    <w:tmpl w:val="32EAB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D94211C"/>
    <w:multiLevelType w:val="singleLevel"/>
    <w:tmpl w:val="751EA1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56207FF"/>
    <w:multiLevelType w:val="singleLevel"/>
    <w:tmpl w:val="DDAE1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6F155B6"/>
    <w:multiLevelType w:val="singleLevel"/>
    <w:tmpl w:val="C34273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9"/>
  </w:num>
  <w:num w:numId="3">
    <w:abstractNumId w:val="12"/>
  </w:num>
  <w:num w:numId="4">
    <w:abstractNumId w:val="17"/>
  </w:num>
  <w:num w:numId="5">
    <w:abstractNumId w:val="14"/>
  </w:num>
  <w:num w:numId="6">
    <w:abstractNumId w:val="10"/>
  </w:num>
  <w:num w:numId="7">
    <w:abstractNumId w:val="0"/>
  </w:num>
  <w:num w:numId="8">
    <w:abstractNumId w:val="18"/>
  </w:num>
  <w:num w:numId="9">
    <w:abstractNumId w:val="20"/>
  </w:num>
  <w:num w:numId="10">
    <w:abstractNumId w:val="15"/>
  </w:num>
  <w:num w:numId="11">
    <w:abstractNumId w:val="16"/>
  </w:num>
  <w:num w:numId="12">
    <w:abstractNumId w:val="13"/>
  </w:num>
  <w:num w:numId="13">
    <w:abstractNumId w:val="7"/>
  </w:num>
  <w:num w:numId="14">
    <w:abstractNumId w:val="1"/>
  </w:num>
  <w:num w:numId="15">
    <w:abstractNumId w:val="2"/>
  </w:num>
  <w:num w:numId="16">
    <w:abstractNumId w:val="19"/>
  </w:num>
  <w:num w:numId="17">
    <w:abstractNumId w:val="4"/>
  </w:num>
  <w:num w:numId="18">
    <w:abstractNumId w:val="6"/>
  </w:num>
  <w:num w:numId="19">
    <w:abstractNumId w:val="3"/>
  </w:num>
  <w:num w:numId="20">
    <w:abstractNumId w:val="11"/>
  </w:num>
  <w:num w:numId="21">
    <w:abstractNumId w:val="2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81FE3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81FE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81FE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479575-6ED8-4E81-9E84-D7AFFD3B9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2026-08-04T18:07:00Z</dcterms:created>
  <dcterms:modified xsi:type="dcterms:W3CDTF">2026-08-04T18:07:00Z</dcterms:modified>
</cp:coreProperties>
</file>