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658DD2E" w:rsidR="0049405C" w:rsidRPr="00C24D79" w:rsidRDefault="00CB1B0C" w:rsidP="00CB1B0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B1B0C">
              <w:rPr>
                <w:rFonts w:ascii="等线" w:eastAsia="等线" w:hAnsi="Times New Roman"/>
                <w:b/>
                <w:color w:val="000000"/>
                <w:sz w:val="48"/>
              </w:rPr>
              <w:t>JIANBO WEI</w:t>
            </w:r>
            <w:bookmarkEnd w:id="0"/>
          </w:p>
          <w:p w14:paraId="706EB16B" w14:textId="5A2A0F1E" w:rsidR="0049405C" w:rsidRPr="00C24D79" w:rsidRDefault="00CB1B0C" w:rsidP="00CB1B0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B1B0C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CB1B0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B1B0C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1A92D0D6" w:rsidR="0049405C" w:rsidRPr="00C24D79" w:rsidRDefault="00CB1B0C" w:rsidP="00CB1B0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B1B0C">
              <w:rPr>
                <w:rFonts w:ascii="等线" w:eastAsia="等线" w:hAnsi="Times New Roman"/>
                <w:color w:val="000000"/>
              </w:rPr>
              <w:t xml:space="preserve">+86 10 5769 5719 </w:t>
            </w:r>
            <w:bookmarkEnd w:id="3"/>
          </w:p>
          <w:p w14:paraId="4F910ACA" w14:textId="0D625A8B" w:rsidR="0049405C" w:rsidRPr="00C24D79" w:rsidRDefault="00CB1B0C" w:rsidP="00CB1B0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B1B0C">
              <w:rPr>
                <w:rFonts w:ascii="等线" w:eastAsia="等线" w:hAnsi="Times New Roman"/>
                <w:color w:val="000000"/>
              </w:rPr>
              <w:t>jianbo.wei@fangdalaw.com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2FEE417" w:rsidR="0049405C" w:rsidRPr="00C24D79" w:rsidRDefault="00CB1B0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781249D" wp14:editId="307A5CE1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1382DD6" w:rsidR="009465FB" w:rsidRPr="00C24D79" w:rsidRDefault="00CB1B0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B1B0C">
              <w:rPr>
                <w:rFonts w:ascii="等线" w:eastAsia="等线" w:hAnsi="Times New Roman"/>
                <w:color w:val="000000"/>
                <w:szCs w:val="21"/>
              </w:rPr>
              <w:t>MR. JIANBO WEI SPECIALIZES IN OVERSEAS CAPITAL MARKETS, M&amp;A, PRIVATE EQUITY INVESTMENT, FOREIGN DIRECT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BA68A0F" w14:textId="77777777" w:rsidR="00CB1B0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3EB0488" w14:textId="77777777" w:rsidR="00CB1B0C" w:rsidRDefault="00CB1B0C" w:rsidP="00CB1B0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B1B0C">
        <w:rPr>
          <w:rFonts w:ascii="等线" w:eastAsia="等线" w:hAnsi="等线"/>
          <w:b/>
          <w:sz w:val="24"/>
        </w:rPr>
        <w:t>REPRESENTATIVE MATTERS AND CASES</w:t>
      </w:r>
    </w:p>
    <w:p w14:paraId="68789DA2" w14:textId="77777777" w:rsidR="00CB1B0C" w:rsidRDefault="00CB1B0C" w:rsidP="00CB1B0C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BE29397" w14:textId="77777777" w:rsidR="00CB1B0C" w:rsidRDefault="00CB1B0C" w:rsidP="00CB1B0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B0C">
        <w:rPr>
          <w:rFonts w:ascii="等线" w:eastAsia="等线" w:hAnsi="Times New Roman"/>
          <w:color w:val="000000"/>
        </w:rPr>
        <w:t>Represented Kingsoft Cloud Holdings Limited (NASDAQ: KC) in its initial public offering on the NASDAQ</w:t>
      </w:r>
    </w:p>
    <w:p w14:paraId="7B082EA3" w14:textId="77777777" w:rsidR="00CB1B0C" w:rsidRDefault="00CB1B0C" w:rsidP="00CB1B0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B0C">
        <w:rPr>
          <w:rFonts w:ascii="等线" w:eastAsia="等线" w:hAnsi="Times New Roman"/>
          <w:color w:val="000000"/>
        </w:rPr>
        <w:t>Represented Qudian Inc. (NYSE: QD) in its initial public offering on the New York Stock Exchange</w:t>
      </w:r>
    </w:p>
    <w:p w14:paraId="6B09E693" w14:textId="77777777" w:rsidR="00CB1B0C" w:rsidRDefault="00CB1B0C" w:rsidP="00CB1B0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B0C">
        <w:rPr>
          <w:rFonts w:ascii="等线" w:eastAsia="等线" w:hAnsi="Times New Roman"/>
          <w:color w:val="000000"/>
        </w:rPr>
        <w:t>Represented Jianpu Technology Inc. (Rong360) (NYSE: JT) in its initial public offering on the New York Stock Exchange</w:t>
      </w:r>
    </w:p>
    <w:p w14:paraId="322E7BFF" w14:textId="77777777" w:rsidR="00CB1B0C" w:rsidRDefault="00CB1B0C" w:rsidP="00CB1B0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B0C">
        <w:rPr>
          <w:rFonts w:ascii="等线" w:eastAsia="等线" w:hAnsi="Times New Roman"/>
          <w:color w:val="000000"/>
        </w:rPr>
        <w:t>Represented Cango Inc. (NYSE: CANG) in its initial public offering on the New York Stock Exchange</w:t>
      </w:r>
    </w:p>
    <w:p w14:paraId="44A89EA6" w14:textId="77777777" w:rsidR="00CB1B0C" w:rsidRDefault="00CB1B0C" w:rsidP="00CB1B0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B0C">
        <w:rPr>
          <w:rFonts w:ascii="等线" w:eastAsia="等线" w:hAnsi="Times New Roman"/>
          <w:color w:val="000000"/>
        </w:rPr>
        <w:t>Represented the underwriters Morgan Stanley, Credit Suisse, and Citigroup in connection with the initial public offering of Huami Corporation (NYSE: HMI) on the New York Stock Exchange</w:t>
      </w:r>
    </w:p>
    <w:p w14:paraId="58242846" w14:textId="77777777" w:rsidR="00CB1B0C" w:rsidRDefault="00CB1B0C" w:rsidP="00CB1B0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B0C">
        <w:rPr>
          <w:rFonts w:ascii="等线" w:eastAsia="等线" w:hAnsi="Times New Roman"/>
          <w:color w:val="000000"/>
        </w:rPr>
        <w:t>Represented the underwriters Citigroup, Deutsche Bank Securities, AMTD, China Merchants Securities (HK), and Tiger Brokers in connection with the initial public offering of UP Fintech Holding Limited (NASDAQ: TIGR) on the NASDAQ</w:t>
      </w:r>
    </w:p>
    <w:p w14:paraId="278D0852" w14:textId="77777777" w:rsidR="00CB1B0C" w:rsidRDefault="00CB1B0C" w:rsidP="00CB1B0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B0C">
        <w:rPr>
          <w:rFonts w:ascii="等线" w:eastAsia="等线" w:hAnsi="Times New Roman"/>
          <w:color w:val="000000"/>
        </w:rPr>
        <w:t>Represented the underwriters Morgan Stanley and J.P. Morgan in the Kingsoft Corporation Limited (HK: 3888) issuance of HK$3.1 billion in convertible bonds due 2025</w:t>
      </w:r>
    </w:p>
    <w:p w14:paraId="68F7A61D" w14:textId="77777777" w:rsidR="00CB1B0C" w:rsidRDefault="00CB1B0C" w:rsidP="00CB1B0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B0C">
        <w:rPr>
          <w:rFonts w:ascii="等线" w:eastAsia="等线" w:hAnsi="Times New Roman"/>
          <w:color w:val="000000"/>
        </w:rPr>
        <w:t>Represented Warburg Pincus in its strategic investment in Ant Financial</w:t>
      </w:r>
    </w:p>
    <w:p w14:paraId="657981D9" w14:textId="77777777" w:rsidR="00CB1B0C" w:rsidRDefault="00CB1B0C" w:rsidP="00CB1B0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B0C">
        <w:rPr>
          <w:rFonts w:ascii="等线" w:eastAsia="等线" w:hAnsi="Times New Roman"/>
          <w:color w:val="000000"/>
        </w:rPr>
        <w:t>Represented Warburg Pincus in its strategic investment in Henan Zhongyuan Consumer Finance Co., Ltd</w:t>
      </w:r>
    </w:p>
    <w:p w14:paraId="7A4EB8FD" w14:textId="77777777" w:rsidR="00CB1B0C" w:rsidRDefault="00CB1B0C" w:rsidP="00CB1B0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B0C">
        <w:rPr>
          <w:rFonts w:ascii="等线" w:eastAsia="等线" w:hAnsi="Times New Roman"/>
          <w:color w:val="000000"/>
        </w:rPr>
        <w:t>Represented CITIC PE in its strategic investment in JD Health International Inc</w:t>
      </w:r>
    </w:p>
    <w:p w14:paraId="1E494B5A" w14:textId="77777777" w:rsidR="00CB1B0C" w:rsidRDefault="00CB1B0C" w:rsidP="00CB1B0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B0C">
        <w:rPr>
          <w:rFonts w:ascii="等线" w:eastAsia="等线" w:hAnsi="Times New Roman"/>
          <w:color w:val="000000"/>
        </w:rPr>
        <w:t>Represented Junzheng Group in its purchase of a 15.3% stake of Huatai Insurance</w:t>
      </w:r>
    </w:p>
    <w:p w14:paraId="27008809" w14:textId="77777777" w:rsidR="00CB1B0C" w:rsidRDefault="00CB1B0C" w:rsidP="00CB1B0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B0C">
        <w:rPr>
          <w:rFonts w:ascii="等线" w:eastAsia="等线" w:hAnsi="Times New Roman"/>
          <w:color w:val="000000"/>
        </w:rPr>
        <w:t>Represented Canada Scotiabank in its strategic investment in the Bank of Xi</w:t>
      </w:r>
      <w:r w:rsidRPr="00CB1B0C">
        <w:rPr>
          <w:rFonts w:ascii="等线" w:eastAsia="等线" w:hAnsi="Times New Roman"/>
          <w:color w:val="000000"/>
        </w:rPr>
        <w:t>’</w:t>
      </w:r>
      <w:r w:rsidRPr="00CB1B0C">
        <w:rPr>
          <w:rFonts w:ascii="等线" w:eastAsia="等线" w:hAnsi="Times New Roman"/>
          <w:color w:val="000000"/>
        </w:rPr>
        <w:t>an</w:t>
      </w:r>
    </w:p>
    <w:p w14:paraId="3A642D1C" w14:textId="77777777" w:rsidR="00CB1B0C" w:rsidRDefault="00CB1B0C" w:rsidP="00CB1B0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B0C">
        <w:rPr>
          <w:rFonts w:ascii="等线" w:eastAsia="等线" w:hAnsi="Times New Roman"/>
          <w:color w:val="000000"/>
        </w:rPr>
        <w:t>Represented Alibaba in its strategic investment in Enlight Media</w:t>
      </w:r>
    </w:p>
    <w:p w14:paraId="03C72CF8" w14:textId="77777777" w:rsidR="00CB1B0C" w:rsidRDefault="00CB1B0C" w:rsidP="00CB1B0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B0C">
        <w:rPr>
          <w:rFonts w:ascii="等线" w:eastAsia="等线" w:hAnsi="Times New Roman"/>
          <w:color w:val="000000"/>
        </w:rPr>
        <w:t>Represented Didi Chuxing in its strategic investment in Ren Ren Che</w:t>
      </w:r>
    </w:p>
    <w:p w14:paraId="175E3E11" w14:textId="77777777" w:rsidR="00CB1B0C" w:rsidRDefault="00CB1B0C" w:rsidP="00CB1B0C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B0C">
        <w:rPr>
          <w:rFonts w:ascii="等线" w:eastAsia="等线" w:hAnsi="Times New Roman"/>
          <w:color w:val="000000"/>
        </w:rPr>
        <w:t>Represented Primavera Capital in its investment in Souche</w:t>
      </w:r>
    </w:p>
    <w:p w14:paraId="6D7088F3" w14:textId="77777777" w:rsidR="00CB1B0C" w:rsidRDefault="00CB1B0C" w:rsidP="00CB1B0C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B0C">
        <w:rPr>
          <w:rFonts w:ascii="等线" w:eastAsia="等线" w:hAnsi="Times New Roman"/>
          <w:color w:val="000000"/>
        </w:rPr>
        <w:t>Represented Kuaishou in its Series E financing</w:t>
      </w:r>
    </w:p>
    <w:p w14:paraId="68423961" w14:textId="77777777" w:rsidR="00CB1B0C" w:rsidRDefault="00CB1B0C" w:rsidP="00CB1B0C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B0C">
        <w:rPr>
          <w:rFonts w:ascii="等线" w:eastAsia="等线" w:hAnsi="Times New Roman"/>
          <w:color w:val="000000"/>
        </w:rPr>
        <w:t>Represented Foshan Deruike Pharmaceuticals Co., Ltd in receiving investment from Hainan Sihuan Pharmaceutical Co., Ltd. of up to RMB 400 million</w:t>
      </w:r>
    </w:p>
    <w:p w14:paraId="1700496F" w14:textId="77777777" w:rsidR="00CB1B0C" w:rsidRDefault="00CB1B0C" w:rsidP="00CB1B0C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B0C">
        <w:rPr>
          <w:rFonts w:ascii="等线" w:eastAsia="等线" w:hAnsi="Times New Roman"/>
          <w:color w:val="000000"/>
        </w:rPr>
        <w:t>Represented Haisco Pharmaceutical Group Co., Ltd, an A-share listed company, in its investment in Israeli medical device enterprises, including MST Medical Surgery Technologies Ltd., Sensible Medical Innovations Ltd., Endospan Ltd., and Newpace Ltd</w:t>
      </w:r>
    </w:p>
    <w:p w14:paraId="06677371" w14:textId="77777777" w:rsidR="00CB1B0C" w:rsidRDefault="00CB1B0C" w:rsidP="00CB1B0C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B0C">
        <w:rPr>
          <w:rFonts w:ascii="等线" w:eastAsia="等线" w:hAnsi="Times New Roman"/>
          <w:color w:val="000000"/>
        </w:rPr>
        <w:t>Represented Jumei in its investment in Jiedian</w:t>
      </w:r>
    </w:p>
    <w:p w14:paraId="358807AA" w14:textId="77777777" w:rsidR="00CB1B0C" w:rsidRDefault="00CB1B0C" w:rsidP="00CB1B0C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B0C">
        <w:rPr>
          <w:rFonts w:ascii="等线" w:eastAsia="等线" w:hAnsi="Times New Roman"/>
          <w:color w:val="000000"/>
        </w:rPr>
        <w:t>Acted as legal advisor on general corporate affairs for listed companies including Sina, Jianpu (Rong360), Qudian, Jumei, and Cango</w:t>
      </w:r>
    </w:p>
    <w:p w14:paraId="2D996766" w14:textId="77777777" w:rsidR="00CB1B0C" w:rsidRDefault="00CB1B0C" w:rsidP="00CB1B0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B1B0C">
        <w:rPr>
          <w:rFonts w:ascii="等线" w:eastAsia="等线" w:hAnsi="等线"/>
          <w:b/>
          <w:sz w:val="24"/>
        </w:rPr>
        <w:t>Education</w:t>
      </w:r>
    </w:p>
    <w:p w14:paraId="5E83577F" w14:textId="77777777" w:rsidR="00CB1B0C" w:rsidRDefault="00CB1B0C" w:rsidP="00CB1B0C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B0C">
        <w:rPr>
          <w:rFonts w:ascii="等线" w:eastAsia="等线" w:hAnsi="Times New Roman"/>
          <w:color w:val="000000"/>
        </w:rPr>
        <w:t>Renmin University of China, Master of Laws</w:t>
      </w:r>
    </w:p>
    <w:p w14:paraId="41219362" w14:textId="77777777" w:rsidR="00CB1B0C" w:rsidRDefault="00CB1B0C" w:rsidP="00CB1B0C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B0C">
        <w:rPr>
          <w:rFonts w:ascii="等线" w:eastAsia="等线" w:hAnsi="Times New Roman"/>
          <w:color w:val="000000"/>
        </w:rPr>
        <w:t>China Foreign Affairs University, Bachelor of Laws</w:t>
      </w:r>
    </w:p>
    <w:p w14:paraId="5E40362D" w14:textId="77777777" w:rsidR="00CB1B0C" w:rsidRDefault="00CB1B0C" w:rsidP="00CB1B0C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B0C">
        <w:rPr>
          <w:rFonts w:ascii="等线" w:eastAsia="等线" w:hAnsi="Times New Roman"/>
          <w:color w:val="000000"/>
        </w:rPr>
        <w:t>China Foreign Affairs University, B.A. in English Literature</w:t>
      </w:r>
    </w:p>
    <w:p w14:paraId="04B582B6" w14:textId="77777777" w:rsidR="00CB1B0C" w:rsidRDefault="00CB1B0C" w:rsidP="00CB1B0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B1B0C">
        <w:rPr>
          <w:rFonts w:ascii="等线" w:eastAsia="等线" w:hAnsi="等线"/>
          <w:b/>
          <w:sz w:val="24"/>
        </w:rPr>
        <w:t>Professional Qualification</w:t>
      </w:r>
    </w:p>
    <w:p w14:paraId="5567FC3C" w14:textId="426437F0" w:rsidR="00686369" w:rsidRPr="00CB1B0C" w:rsidRDefault="00CB1B0C" w:rsidP="00CB1B0C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B0C">
        <w:rPr>
          <w:rFonts w:ascii="等线" w:eastAsia="等线" w:hAnsi="Times New Roman"/>
          <w:color w:val="000000"/>
        </w:rPr>
        <w:t>Admitted to practice in the PRC</w:t>
      </w:r>
    </w:p>
    <w:sectPr w:rsidR="00686369" w:rsidRPr="00CB1B0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01D7B"/>
    <w:multiLevelType w:val="singleLevel"/>
    <w:tmpl w:val="F54A9D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1BC3125"/>
    <w:multiLevelType w:val="singleLevel"/>
    <w:tmpl w:val="3384C5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5500BCD"/>
    <w:multiLevelType w:val="singleLevel"/>
    <w:tmpl w:val="1A5A57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89A31AA"/>
    <w:multiLevelType w:val="singleLevel"/>
    <w:tmpl w:val="6712A5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ADC41EA"/>
    <w:multiLevelType w:val="singleLevel"/>
    <w:tmpl w:val="33989E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7AF4D6C"/>
    <w:multiLevelType w:val="singleLevel"/>
    <w:tmpl w:val="19C62B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94A585C"/>
    <w:multiLevelType w:val="singleLevel"/>
    <w:tmpl w:val="946A14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21C318A"/>
    <w:multiLevelType w:val="singleLevel"/>
    <w:tmpl w:val="0DCA43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A5C3BB6"/>
    <w:multiLevelType w:val="singleLevel"/>
    <w:tmpl w:val="026EA1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2F784159"/>
    <w:multiLevelType w:val="singleLevel"/>
    <w:tmpl w:val="A32E95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0A97E69"/>
    <w:multiLevelType w:val="singleLevel"/>
    <w:tmpl w:val="B9CEB0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3092FE4"/>
    <w:multiLevelType w:val="singleLevel"/>
    <w:tmpl w:val="B58402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6505A6E"/>
    <w:multiLevelType w:val="singleLevel"/>
    <w:tmpl w:val="391076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E260AD4"/>
    <w:multiLevelType w:val="singleLevel"/>
    <w:tmpl w:val="4A680F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1397A24"/>
    <w:multiLevelType w:val="singleLevel"/>
    <w:tmpl w:val="ABF083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0022455"/>
    <w:multiLevelType w:val="singleLevel"/>
    <w:tmpl w:val="3384C5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22805C6"/>
    <w:multiLevelType w:val="singleLevel"/>
    <w:tmpl w:val="919C85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31171F6"/>
    <w:multiLevelType w:val="singleLevel"/>
    <w:tmpl w:val="5064A3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E6056C0"/>
    <w:multiLevelType w:val="singleLevel"/>
    <w:tmpl w:val="AE7A2F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C431521"/>
    <w:multiLevelType w:val="singleLevel"/>
    <w:tmpl w:val="C41881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D397B74"/>
    <w:multiLevelType w:val="singleLevel"/>
    <w:tmpl w:val="AB52E3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DC61404"/>
    <w:multiLevelType w:val="singleLevel"/>
    <w:tmpl w:val="9D44A2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F031412"/>
    <w:multiLevelType w:val="singleLevel"/>
    <w:tmpl w:val="F13646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67252C1"/>
    <w:multiLevelType w:val="singleLevel"/>
    <w:tmpl w:val="78E8EB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C4543FE"/>
    <w:multiLevelType w:val="singleLevel"/>
    <w:tmpl w:val="1E5027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4"/>
  </w:num>
  <w:num w:numId="3">
    <w:abstractNumId w:val="11"/>
  </w:num>
  <w:num w:numId="4">
    <w:abstractNumId w:val="22"/>
  </w:num>
  <w:num w:numId="5">
    <w:abstractNumId w:val="0"/>
  </w:num>
  <w:num w:numId="6">
    <w:abstractNumId w:val="4"/>
  </w:num>
  <w:num w:numId="7">
    <w:abstractNumId w:val="5"/>
  </w:num>
  <w:num w:numId="8">
    <w:abstractNumId w:val="12"/>
  </w:num>
  <w:num w:numId="9">
    <w:abstractNumId w:val="19"/>
  </w:num>
  <w:num w:numId="10">
    <w:abstractNumId w:val="10"/>
  </w:num>
  <w:num w:numId="11">
    <w:abstractNumId w:val="13"/>
  </w:num>
  <w:num w:numId="12">
    <w:abstractNumId w:val="20"/>
  </w:num>
  <w:num w:numId="13">
    <w:abstractNumId w:val="24"/>
  </w:num>
  <w:num w:numId="14">
    <w:abstractNumId w:val="3"/>
  </w:num>
  <w:num w:numId="15">
    <w:abstractNumId w:val="8"/>
  </w:num>
  <w:num w:numId="16">
    <w:abstractNumId w:val="16"/>
  </w:num>
  <w:num w:numId="17">
    <w:abstractNumId w:val="25"/>
  </w:num>
  <w:num w:numId="18">
    <w:abstractNumId w:val="21"/>
  </w:num>
  <w:num w:numId="19">
    <w:abstractNumId w:val="6"/>
  </w:num>
  <w:num w:numId="20">
    <w:abstractNumId w:val="23"/>
  </w:num>
  <w:num w:numId="21">
    <w:abstractNumId w:val="2"/>
  </w:num>
  <w:num w:numId="22">
    <w:abstractNumId w:val="26"/>
  </w:num>
  <w:num w:numId="23">
    <w:abstractNumId w:val="7"/>
  </w:num>
  <w:num w:numId="24">
    <w:abstractNumId w:val="18"/>
  </w:num>
  <w:num w:numId="25">
    <w:abstractNumId w:val="15"/>
  </w:num>
  <w:num w:numId="26">
    <w:abstractNumId w:val="1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B1B0C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B1B0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B1B0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7DE3F59-4AF0-499C-9377-453C74FC5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2026-08-04T19:03:00Z</dcterms:created>
  <dcterms:modified xsi:type="dcterms:W3CDTF">2026-08-04T19:03:00Z</dcterms:modified>
</cp:coreProperties>
</file>