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7F01A7D" w:rsidR="0049405C" w:rsidRPr="00C24D79" w:rsidRDefault="000C5F93" w:rsidP="000C5F9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C5F93">
              <w:rPr>
                <w:rFonts w:ascii="等线" w:eastAsia="等线" w:hAnsi="Times New Roman"/>
                <w:b/>
                <w:color w:val="000000"/>
                <w:sz w:val="48"/>
              </w:rPr>
              <w:t>ZHANGXIAN CHEN</w:t>
            </w:r>
            <w:bookmarkEnd w:id="0"/>
          </w:p>
          <w:p w14:paraId="706EB16B" w14:textId="613507FF" w:rsidR="0049405C" w:rsidRPr="00C24D79" w:rsidRDefault="000C5F93" w:rsidP="000C5F9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C5F9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C5F9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C5F93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A80B2A1" w:rsidR="0049405C" w:rsidRPr="00C24D79" w:rsidRDefault="000C5F93" w:rsidP="000C5F9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C5F93">
              <w:rPr>
                <w:rFonts w:ascii="等线" w:eastAsia="等线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4651A108" w:rsidR="0049405C" w:rsidRPr="00C24D79" w:rsidRDefault="000C5F93" w:rsidP="000C5F9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C5F93">
              <w:rPr>
                <w:rFonts w:ascii="等线" w:eastAsia="等线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E454852" w:rsidR="0049405C" w:rsidRPr="00C24D79" w:rsidRDefault="000C5F9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2F43F0A" wp14:editId="1774713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49B81E1" w:rsidR="009465FB" w:rsidRPr="00C24D79" w:rsidRDefault="000C5F9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C5F93">
              <w:rPr>
                <w:rFonts w:ascii="等线" w:eastAsia="等线" w:hAnsi="Times New Roman"/>
                <w:color w:val="000000"/>
                <w:szCs w:val="21"/>
              </w:rPr>
              <w:t xml:space="preserve">ZHANGXIAN CHEN SPECIALIZES IN FOREIGN DIRECT INVESTMENT, M&amp;A, RESTRUCTURING, SECURITIES OFFERING AND LISTING, AND GENERAL CORPORATE MATTERS.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EE6A18D" w14:textId="77777777" w:rsidR="000C5F9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C942D1E" w14:textId="77777777" w:rsidR="000C5F93" w:rsidRDefault="000C5F93" w:rsidP="000C5F9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5F93">
        <w:rPr>
          <w:rFonts w:ascii="等线" w:eastAsia="等线" w:hAnsi="等线"/>
          <w:b/>
          <w:sz w:val="24"/>
        </w:rPr>
        <w:t>REPRESENTATIVE MATTERS AND CASES</w:t>
      </w:r>
    </w:p>
    <w:p w14:paraId="0D75218F" w14:textId="77777777" w:rsidR="000C5F93" w:rsidRDefault="000C5F93" w:rsidP="000C5F9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55757E8" w14:textId="77777777" w:rsidR="000C5F93" w:rsidRDefault="000C5F93" w:rsidP="000C5F9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Advised Gambol Pet Group (SZ301498) on its Series B Financing and it</w:t>
      </w:r>
      <w:r w:rsidRPr="000C5F93">
        <w:rPr>
          <w:rFonts w:ascii="等线" w:eastAsia="等线" w:hAnsi="Times New Roman"/>
          <w:color w:val="000000"/>
        </w:rPr>
        <w:t>’</w:t>
      </w:r>
      <w:r w:rsidRPr="000C5F93">
        <w:rPr>
          <w:rFonts w:ascii="等线" w:eastAsia="等线" w:hAnsi="Times New Roman"/>
          <w:color w:val="000000"/>
        </w:rPr>
        <w:t>s successful A share IPO on the ChiNext board of the Shenzhen Stock Exchange;</w:t>
      </w:r>
    </w:p>
    <w:p w14:paraId="63AF5ACA" w14:textId="77777777" w:rsidR="000C5F93" w:rsidRDefault="000C5F93" w:rsidP="000C5F9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Advised XPENG Inc. (NYSE: XPEV and HKEX: 9868-W) on its strategic partnership with Didi Global Inc., upon which, XPENG issues shares to DiDi and acquires the assets and R&amp;D capabilities related to DiDi's Smart EV project;</w:t>
      </w:r>
    </w:p>
    <w:p w14:paraId="3DEC3F80" w14:textId="77777777" w:rsidR="000C5F93" w:rsidRDefault="000C5F93" w:rsidP="000C5F9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Advised KKR on its investments in the PRC assets of NVC Lighting, Adopt A Cow, Gambol Pet Group, Yuehai Feeds, Jiangsu Yuguan, Centrin Huaqiao Data Center and some other projects;</w:t>
      </w:r>
    </w:p>
    <w:p w14:paraId="41716547" w14:textId="77777777" w:rsidR="000C5F93" w:rsidRDefault="000C5F93" w:rsidP="000C5F9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Advised DCP Capital on its investments in Datong Insurance, Hotwon Group, Adopt A Cow, Jiuyue Hospital Management Group and some other companies;</w:t>
      </w:r>
    </w:p>
    <w:p w14:paraId="68855E4A" w14:textId="77777777" w:rsidR="000C5F93" w:rsidRDefault="000C5F93" w:rsidP="000C5F9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Advised China Reform Venture Capital on its investments in Huafeng Test &amp; Control (SH688200) and Xidi Microelectronics (SH688173);</w:t>
      </w:r>
    </w:p>
    <w:p w14:paraId="3B80DD10" w14:textId="77777777" w:rsidR="000C5F93" w:rsidRDefault="000C5F93" w:rsidP="000C5F9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Advised Morgan Stanley on its investments in One &amp; Only Medical Cosmetology Group, Yancheng Haipurun Membrane Technology Co., Ltd. and some other companies;</w:t>
      </w:r>
    </w:p>
    <w:p w14:paraId="6FF7F0A1" w14:textId="77777777" w:rsidR="000C5F93" w:rsidRDefault="000C5F93" w:rsidP="000C5F9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Advised CMC Capital on its investments in KK Group, LAIX (a NASDAQ-listed company), Daylight Entertainment and some other companies;</w:t>
      </w:r>
    </w:p>
    <w:p w14:paraId="12EE277C" w14:textId="77777777" w:rsidR="000C5F93" w:rsidRDefault="000C5F93" w:rsidP="000C5F9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Advised KKR, DCP Capital, Haitong International, Morgan Stanley and some other investors on their investments in a series of Data Center Projects in mainland China;</w:t>
      </w:r>
    </w:p>
    <w:p w14:paraId="24CF93DF" w14:textId="77777777" w:rsidR="000C5F93" w:rsidRDefault="000C5F93" w:rsidP="000C5F9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Advised SoReal Culture Group on its Series Pre-A to Series C Financing, Red-Chip structure and general operation matters;</w:t>
      </w:r>
    </w:p>
    <w:p w14:paraId="301B66A0" w14:textId="77777777" w:rsidR="000C5F93" w:rsidRDefault="000C5F93" w:rsidP="000C5F9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Acted as the Sponsor</w:t>
      </w:r>
      <w:r w:rsidRPr="000C5F93">
        <w:rPr>
          <w:rFonts w:ascii="等线" w:eastAsia="等线" w:hAnsi="Times New Roman"/>
          <w:color w:val="000000"/>
        </w:rPr>
        <w:t>’</w:t>
      </w:r>
      <w:r w:rsidRPr="000C5F93">
        <w:rPr>
          <w:rFonts w:ascii="等线" w:eastAsia="等线" w:hAnsi="Times New Roman"/>
          <w:color w:val="000000"/>
        </w:rPr>
        <w:t>s PRC counsel in the IPO on SEHK by COFCO Meat (01610), Regina Miracle (02199), Zhongliang Womai and some other real estate companies.</w:t>
      </w:r>
    </w:p>
    <w:p w14:paraId="642A669A" w14:textId="77777777" w:rsidR="000C5F93" w:rsidRDefault="000C5F93" w:rsidP="000C5F9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5F93">
        <w:rPr>
          <w:rFonts w:ascii="等线" w:eastAsia="等线" w:hAnsi="等线"/>
          <w:b/>
          <w:sz w:val="24"/>
        </w:rPr>
        <w:t>Education</w:t>
      </w:r>
    </w:p>
    <w:p w14:paraId="415EFD16" w14:textId="77777777" w:rsidR="000C5F93" w:rsidRDefault="000C5F93" w:rsidP="000C5F9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China University of Political Science and Law, LL.M.</w:t>
      </w:r>
    </w:p>
    <w:p w14:paraId="1E25E568" w14:textId="77777777" w:rsidR="000C5F93" w:rsidRDefault="000C5F93" w:rsidP="000C5F9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China University of Political Science and Law, LL.B.</w:t>
      </w:r>
    </w:p>
    <w:p w14:paraId="3A9D3212" w14:textId="77777777" w:rsidR="000C5F93" w:rsidRDefault="000C5F93" w:rsidP="000C5F9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5F93">
        <w:rPr>
          <w:rFonts w:ascii="等线" w:eastAsia="等线" w:hAnsi="等线"/>
          <w:b/>
          <w:sz w:val="24"/>
        </w:rPr>
        <w:t>Professional Qualification</w:t>
      </w:r>
    </w:p>
    <w:p w14:paraId="2A486250" w14:textId="77777777" w:rsidR="000C5F93" w:rsidRDefault="000C5F93" w:rsidP="000C5F9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Admitted to practice in the PRC</w:t>
      </w:r>
    </w:p>
    <w:p w14:paraId="13DD0567" w14:textId="77777777" w:rsidR="000C5F93" w:rsidRDefault="000C5F93" w:rsidP="000C5F9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C5F93">
        <w:rPr>
          <w:rFonts w:ascii="等线" w:eastAsia="等线" w:hAnsi="等线"/>
          <w:b/>
          <w:sz w:val="24"/>
        </w:rPr>
        <w:t>Professional Background</w:t>
      </w:r>
    </w:p>
    <w:p w14:paraId="5567FC3C" w14:textId="21250069" w:rsidR="00686369" w:rsidRPr="000C5F93" w:rsidRDefault="000C5F93" w:rsidP="000C5F9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C5F93">
        <w:rPr>
          <w:rFonts w:ascii="等线" w:eastAsia="等线" w:hAnsi="Times New Roman"/>
          <w:color w:val="000000"/>
        </w:rPr>
        <w:t>Zhangxian Chen joined Fangda in 2015.</w:t>
      </w:r>
    </w:p>
    <w:sectPr w:rsidR="00686369" w:rsidRPr="000C5F9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46EA"/>
    <w:multiLevelType w:val="singleLevel"/>
    <w:tmpl w:val="1598B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F844D00"/>
    <w:multiLevelType w:val="singleLevel"/>
    <w:tmpl w:val="892E3D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91E1662"/>
    <w:multiLevelType w:val="singleLevel"/>
    <w:tmpl w:val="471A09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0100732"/>
    <w:multiLevelType w:val="singleLevel"/>
    <w:tmpl w:val="E6CE1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15E6E39"/>
    <w:multiLevelType w:val="singleLevel"/>
    <w:tmpl w:val="B40A92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2F747AC"/>
    <w:multiLevelType w:val="singleLevel"/>
    <w:tmpl w:val="471A09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36A4FFF"/>
    <w:multiLevelType w:val="singleLevel"/>
    <w:tmpl w:val="4E6859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0293FBB"/>
    <w:multiLevelType w:val="singleLevel"/>
    <w:tmpl w:val="7B1C5A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28147A1"/>
    <w:multiLevelType w:val="singleLevel"/>
    <w:tmpl w:val="A75AC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7741C47"/>
    <w:multiLevelType w:val="singleLevel"/>
    <w:tmpl w:val="56D0FB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73362860"/>
    <w:multiLevelType w:val="singleLevel"/>
    <w:tmpl w:val="3EF48F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75CF66B3"/>
    <w:multiLevelType w:val="singleLevel"/>
    <w:tmpl w:val="C152F8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A2E76A1"/>
    <w:multiLevelType w:val="singleLevel"/>
    <w:tmpl w:val="DE248C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ADB6A8E"/>
    <w:multiLevelType w:val="singleLevel"/>
    <w:tmpl w:val="FD7AC5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CA2284F"/>
    <w:multiLevelType w:val="singleLevel"/>
    <w:tmpl w:val="C834E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0"/>
  </w:num>
  <w:num w:numId="5">
    <w:abstractNumId w:val="1"/>
  </w:num>
  <w:num w:numId="6">
    <w:abstractNumId w:val="9"/>
  </w:num>
  <w:num w:numId="7">
    <w:abstractNumId w:val="13"/>
  </w:num>
  <w:num w:numId="8">
    <w:abstractNumId w:val="11"/>
  </w:num>
  <w:num w:numId="9">
    <w:abstractNumId w:val="14"/>
  </w:num>
  <w:num w:numId="10">
    <w:abstractNumId w:val="15"/>
  </w:num>
  <w:num w:numId="11">
    <w:abstractNumId w:val="16"/>
  </w:num>
  <w:num w:numId="12">
    <w:abstractNumId w:val="8"/>
  </w:num>
  <w:num w:numId="13">
    <w:abstractNumId w:val="6"/>
  </w:num>
  <w:num w:numId="14">
    <w:abstractNumId w:val="0"/>
  </w:num>
  <w:num w:numId="15">
    <w:abstractNumId w:val="12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C5F93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C5F9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C5F9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C55879-AFF7-45F2-A537-3668E4BE2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2026-08-04T18:53:00Z</dcterms:created>
  <dcterms:modified xsi:type="dcterms:W3CDTF">2026-08-04T18:53:00Z</dcterms:modified>
</cp:coreProperties>
</file>