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9CA2808" w:rsidR="0049405C" w:rsidRPr="00C24D79" w:rsidRDefault="00FA2300" w:rsidP="00FA2300">
            <w:pPr>
              <w:spacing w:line="720" w:lineRule="auto"/>
              <w:rPr>
                <w:rFonts w:eastAsiaTheme="minorHAnsi"/>
                <w:color w:val="545551"/>
              </w:rPr>
            </w:pPr>
            <w:bookmarkStart w:id="0" w:name="xingming"/>
            <w:bookmarkStart w:id="1" w:name="_GoBack"/>
            <w:bookmarkEnd w:id="1"/>
            <w:r w:rsidRPr="00FA2300">
              <w:rPr>
                <w:rFonts w:ascii="等线" w:eastAsia="等线" w:hAnsi="Times New Roman"/>
                <w:b/>
                <w:color w:val="000000"/>
                <w:sz w:val="48"/>
              </w:rPr>
              <w:t>WANG ZHANG</w:t>
            </w:r>
            <w:bookmarkEnd w:id="0"/>
          </w:p>
          <w:p w14:paraId="706EB16B" w14:textId="2B6E60AC" w:rsidR="0049405C" w:rsidRPr="00C24D79" w:rsidRDefault="00FA2300" w:rsidP="00FA2300">
            <w:pPr>
              <w:spacing w:line="360" w:lineRule="auto"/>
              <w:rPr>
                <w:rFonts w:eastAsiaTheme="minorHAnsi"/>
                <w:b/>
                <w:bCs/>
                <w:color w:val="545551"/>
              </w:rPr>
            </w:pPr>
            <w:bookmarkStart w:id="2" w:name="didian"/>
            <w:r w:rsidRPr="00FA2300">
              <w:rPr>
                <w:rFonts w:ascii="等线" w:eastAsia="等线" w:hAnsi="Times New Roman"/>
                <w:b/>
                <w:bCs/>
                <w:color w:val="000000"/>
              </w:rPr>
              <w:t>Partner</w:t>
            </w:r>
            <w:r w:rsidRPr="00FA2300">
              <w:rPr>
                <w:rFonts w:ascii="等线" w:eastAsia="等线" w:hAnsi="Times New Roman"/>
                <w:b/>
                <w:bCs/>
                <w:color w:val="000000"/>
              </w:rPr>
              <w:t>·</w:t>
            </w:r>
            <w:r w:rsidRPr="00FA2300">
              <w:rPr>
                <w:rFonts w:ascii="等线" w:eastAsia="等线" w:hAnsi="Times New Roman"/>
                <w:b/>
                <w:bCs/>
                <w:color w:val="000000"/>
              </w:rPr>
              <w:t>Shanghai</w:t>
            </w:r>
            <w:bookmarkEnd w:id="2"/>
          </w:p>
          <w:p w14:paraId="6199424A" w14:textId="447F6EF1" w:rsidR="0049405C" w:rsidRPr="00C24D79" w:rsidRDefault="00FA2300" w:rsidP="00FA2300">
            <w:pPr>
              <w:spacing w:line="360" w:lineRule="auto"/>
              <w:rPr>
                <w:rFonts w:eastAsiaTheme="minorHAnsi"/>
                <w:color w:val="545551"/>
              </w:rPr>
            </w:pPr>
            <w:bookmarkStart w:id="3" w:name="dianhua"/>
            <w:r w:rsidRPr="00FA2300">
              <w:rPr>
                <w:rFonts w:ascii="等线" w:eastAsia="等线" w:hAnsi="Times New Roman"/>
                <w:color w:val="000000"/>
              </w:rPr>
              <w:t xml:space="preserve">+86 21 2208 1160 </w:t>
            </w:r>
            <w:bookmarkEnd w:id="3"/>
          </w:p>
          <w:p w14:paraId="4F910ACA" w14:textId="67CFDFD3" w:rsidR="0049405C" w:rsidRPr="00C24D79" w:rsidRDefault="00FA2300" w:rsidP="00FA2300">
            <w:pPr>
              <w:spacing w:line="360" w:lineRule="auto"/>
              <w:rPr>
                <w:rFonts w:eastAsiaTheme="minorHAnsi"/>
                <w:color w:val="000000"/>
              </w:rPr>
            </w:pPr>
            <w:bookmarkStart w:id="4" w:name="youxiang"/>
            <w:r w:rsidRPr="00FA2300">
              <w:rPr>
                <w:rFonts w:ascii="等线" w:eastAsia="等线" w:hAnsi="Times New Roman"/>
                <w:color w:val="000000"/>
              </w:rPr>
              <w:t>wang.zhang@fangdalaw.com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32A49DA" w:rsidR="0049405C" w:rsidRPr="00C24D79" w:rsidRDefault="00FA230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86013A1" wp14:editId="7A403D4C">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CCA9E69" w:rsidR="009465FB" w:rsidRPr="00C24D79" w:rsidRDefault="00FA2300" w:rsidP="007177F3">
            <w:pPr>
              <w:rPr>
                <w:rFonts w:eastAsiaTheme="minorHAnsi"/>
                <w:color w:val="000000"/>
                <w:szCs w:val="21"/>
              </w:rPr>
            </w:pPr>
            <w:bookmarkStart w:id="6" w:name="zhiyelingyu"/>
            <w:r w:rsidRPr="00FA2300">
              <w:rPr>
                <w:rFonts w:ascii="等线" w:eastAsia="等线" w:hAnsi="Times New Roman"/>
                <w:color w:val="000000"/>
                <w:szCs w:val="21"/>
              </w:rPr>
              <w:t>MR. ZHANG SPECIALIZES IN BANKRUPTCY AND RESTRUCTURING, AND COMMERCIAL 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F01E6EC" w14:textId="77777777" w:rsidR="00FA230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36BB555" w14:textId="77777777" w:rsidR="00FA2300" w:rsidRDefault="00FA2300" w:rsidP="00FA2300">
      <w:pPr>
        <w:pStyle w:val="af5"/>
        <w:spacing w:after="0" w:line="480" w:lineRule="auto"/>
        <w:rPr>
          <w:rFonts w:ascii="等线" w:eastAsia="等线" w:hAnsi="等线"/>
          <w:b/>
          <w:sz w:val="24"/>
        </w:rPr>
      </w:pPr>
      <w:r w:rsidRPr="00FA2300">
        <w:rPr>
          <w:rFonts w:ascii="等线" w:eastAsia="等线" w:hAnsi="等线"/>
          <w:b/>
          <w:sz w:val="24"/>
        </w:rPr>
        <w:t>REPRESENTATIVE MATTERS AND CASES</w:t>
      </w:r>
    </w:p>
    <w:p w14:paraId="52E6FC59" w14:textId="77777777" w:rsidR="00FA2300" w:rsidRDefault="00FA2300" w:rsidP="00FA2300">
      <w:pPr>
        <w:pStyle w:val="af5"/>
        <w:spacing w:before="120"/>
        <w:rPr>
          <w:rFonts w:ascii="等线" w:eastAsia="等线" w:hAnsi="Times New Roman"/>
          <w:color w:val="000000"/>
        </w:rPr>
      </w:pPr>
      <w:r w:rsidRPr="00FA2300">
        <w:rPr>
          <w:rFonts w:ascii="等线" w:eastAsia="等线" w:hAnsi="Times New Roman"/>
          <w:color w:val="000000"/>
        </w:rPr>
        <w:t>Bankruptcy and Restructuring</w:t>
      </w:r>
    </w:p>
    <w:p w14:paraId="4D7FB7EB" w14:textId="77777777" w:rsidR="00FA2300" w:rsidRDefault="00FA2300" w:rsidP="00FA2300">
      <w:pPr>
        <w:pStyle w:val="af5"/>
        <w:numPr>
          <w:ilvl w:val="0"/>
          <w:numId w:val="4"/>
        </w:numPr>
        <w:spacing w:before="120"/>
        <w:ind w:left="690" w:hanging="240"/>
        <w:rPr>
          <w:rFonts w:ascii="等线" w:eastAsia="等线" w:hAnsi="Times New Roman"/>
          <w:color w:val="000000"/>
        </w:rPr>
      </w:pPr>
      <w:r w:rsidRPr="00FA2300">
        <w:rPr>
          <w:rFonts w:ascii="等线" w:eastAsia="等线" w:hAnsi="Times New Roman"/>
          <w:color w:val="000000"/>
        </w:rPr>
        <w:t>Acted as the person-in-charge of (interim) bankruptcy administrator of the listed company Shanghai Trendzone Holding Group Co., Ltd. (603030)</w:t>
      </w:r>
      <w:r w:rsidRPr="00FA2300">
        <w:rPr>
          <w:rFonts w:ascii="等线" w:eastAsia="等线" w:hAnsi="Times New Roman"/>
          <w:color w:val="000000"/>
        </w:rPr>
        <w:t>’</w:t>
      </w:r>
      <w:r w:rsidRPr="00FA2300">
        <w:rPr>
          <w:rFonts w:ascii="等线" w:eastAsia="等线" w:hAnsi="Times New Roman"/>
          <w:color w:val="000000"/>
        </w:rPr>
        <w:t>s prepackaged restructuring and restructuring, which was the first restructuring case of a convertible corporate bond issuer listed on the Shanghai Stock Exchange, and was also the first prepackaged restructuring case of a listed company in Shanghai; the case was nominated for the "National Bankruptcy Classic Cases" in 2023, and was selected as one of the 2023 Classic Bankruptcy Cases of the Shanghai Bankruptcy Court and the 2023 Top Ten Cases of Administrator</w:t>
      </w:r>
      <w:r w:rsidRPr="00FA2300">
        <w:rPr>
          <w:rFonts w:ascii="等线" w:eastAsia="等线" w:hAnsi="Times New Roman"/>
          <w:color w:val="000000"/>
        </w:rPr>
        <w:t>’</w:t>
      </w:r>
      <w:r w:rsidRPr="00FA2300">
        <w:rPr>
          <w:rFonts w:ascii="等线" w:eastAsia="等线" w:hAnsi="Times New Roman"/>
          <w:color w:val="000000"/>
        </w:rPr>
        <w:t>s Outstanding Duty Performance of the Shanghai Bankruptcy Court</w:t>
      </w:r>
    </w:p>
    <w:p w14:paraId="759F726F" w14:textId="77777777" w:rsidR="00FA2300" w:rsidRDefault="00FA2300" w:rsidP="00FA2300">
      <w:pPr>
        <w:pStyle w:val="af5"/>
        <w:numPr>
          <w:ilvl w:val="0"/>
          <w:numId w:val="5"/>
        </w:numPr>
        <w:spacing w:before="120"/>
        <w:ind w:left="690" w:hanging="240"/>
        <w:rPr>
          <w:rFonts w:ascii="等线" w:eastAsia="等线" w:hAnsi="Times New Roman"/>
          <w:color w:val="000000"/>
        </w:rPr>
      </w:pPr>
      <w:r w:rsidRPr="00FA2300">
        <w:rPr>
          <w:rFonts w:ascii="等线" w:eastAsia="等线" w:hAnsi="Times New Roman"/>
          <w:color w:val="000000"/>
        </w:rPr>
        <w:t>Acted as the executive-in-charge of (interim) bankruptcy administrator of the listed company Flower King Eco-Engineering Inc. (603007)</w:t>
      </w:r>
      <w:r w:rsidRPr="00FA2300">
        <w:rPr>
          <w:rFonts w:ascii="等线" w:eastAsia="等线" w:hAnsi="Times New Roman"/>
          <w:color w:val="000000"/>
        </w:rPr>
        <w:t>’</w:t>
      </w:r>
      <w:r w:rsidRPr="00FA2300">
        <w:rPr>
          <w:rFonts w:ascii="等线" w:eastAsia="等线" w:hAnsi="Times New Roman"/>
          <w:color w:val="000000"/>
        </w:rPr>
        <w:t>s prepackaged restructuring and its controlling shareholder</w:t>
      </w:r>
      <w:r w:rsidRPr="00FA2300">
        <w:rPr>
          <w:rFonts w:ascii="等线" w:eastAsia="等线" w:hAnsi="Times New Roman"/>
          <w:color w:val="000000"/>
        </w:rPr>
        <w:t>’</w:t>
      </w:r>
      <w:r w:rsidRPr="00FA2300">
        <w:rPr>
          <w:rFonts w:ascii="等线" w:eastAsia="等线" w:hAnsi="Times New Roman"/>
          <w:color w:val="000000"/>
        </w:rPr>
        <w:t xml:space="preserve">s restructuring and also a formal member of the administrator; the case was the first prepackaged restructuring case of a listed convertible corporate bond issuer PRC-wide, and was also the first restructuring case commenced by the court and successfully completed within the year upon the implementation of the landmark new </w:t>
      </w:r>
      <w:r w:rsidRPr="00FA2300">
        <w:rPr>
          <w:rFonts w:ascii="等线" w:eastAsia="等线" w:hAnsi="Times New Roman"/>
          <w:color w:val="000000"/>
        </w:rPr>
        <w:t>“</w:t>
      </w:r>
      <w:r w:rsidRPr="00FA2300">
        <w:rPr>
          <w:rFonts w:ascii="等线" w:eastAsia="等线" w:hAnsi="Times New Roman"/>
          <w:color w:val="000000"/>
        </w:rPr>
        <w:t>National Nine Articles</w:t>
      </w:r>
      <w:r w:rsidRPr="00FA2300">
        <w:rPr>
          <w:rFonts w:ascii="等线" w:eastAsia="等线" w:hAnsi="Times New Roman"/>
          <w:color w:val="000000"/>
        </w:rPr>
        <w:t>”</w:t>
      </w:r>
      <w:r w:rsidRPr="00FA2300">
        <w:rPr>
          <w:rFonts w:ascii="等线" w:eastAsia="等线" w:hAnsi="Times New Roman"/>
          <w:color w:val="000000"/>
        </w:rPr>
        <w:t xml:space="preserve"> in 2024; the case was the only bankruptcy case which won the 2024 Top Ten Classic Bankruptcy Cases Awards of Jiangsu Courts published by the Jiangsu High People's Court</w:t>
      </w:r>
    </w:p>
    <w:p w14:paraId="6BB5B9A3" w14:textId="77777777" w:rsidR="00FA2300" w:rsidRDefault="00FA2300" w:rsidP="00FA2300">
      <w:pPr>
        <w:pStyle w:val="af5"/>
        <w:numPr>
          <w:ilvl w:val="0"/>
          <w:numId w:val="6"/>
        </w:numPr>
        <w:spacing w:before="120"/>
        <w:ind w:left="690" w:hanging="240"/>
        <w:rPr>
          <w:rFonts w:ascii="等线" w:eastAsia="等线" w:hAnsi="Times New Roman"/>
          <w:color w:val="000000"/>
        </w:rPr>
      </w:pPr>
      <w:r w:rsidRPr="00FA2300">
        <w:rPr>
          <w:rFonts w:ascii="等线" w:eastAsia="等线" w:hAnsi="Times New Roman"/>
          <w:color w:val="000000"/>
        </w:rPr>
        <w:t>Acted as the executive-in-charge of (interim) bankruptcy administrator of ZK Engineering &amp; Development Corporation Headquarters' prepackaged restructuring and restructuring, which was,in Shanghai, the first prepackaged restructuring and the first restructuring case involving a trust plan, with assets and debts at issue nearly amounting to RMB one hundred billion; the case was selected as one of the Top Ten National Bankruptcy Classic Cases in 2022 and also one of the 2021 Top Ten Cases of Administrator</w:t>
      </w:r>
      <w:r w:rsidRPr="00FA2300">
        <w:rPr>
          <w:rFonts w:ascii="等线" w:eastAsia="等线" w:hAnsi="Times New Roman"/>
          <w:color w:val="000000"/>
        </w:rPr>
        <w:t>’</w:t>
      </w:r>
      <w:r w:rsidRPr="00FA2300">
        <w:rPr>
          <w:rFonts w:ascii="等线" w:eastAsia="等线" w:hAnsi="Times New Roman"/>
          <w:color w:val="000000"/>
        </w:rPr>
        <w:t>s Outstanding Duty Performance of the Shanghai Bankruptcy Court</w:t>
      </w:r>
    </w:p>
    <w:p w14:paraId="4C1363C4" w14:textId="77777777" w:rsidR="00FA2300" w:rsidRDefault="00FA2300" w:rsidP="00FA2300">
      <w:pPr>
        <w:pStyle w:val="af5"/>
        <w:numPr>
          <w:ilvl w:val="0"/>
          <w:numId w:val="7"/>
        </w:numPr>
        <w:spacing w:before="120"/>
        <w:ind w:left="690" w:hanging="240"/>
        <w:rPr>
          <w:rFonts w:ascii="等线" w:eastAsia="等线" w:hAnsi="Times New Roman"/>
          <w:color w:val="000000"/>
        </w:rPr>
      </w:pPr>
      <w:r w:rsidRPr="00FA2300">
        <w:rPr>
          <w:rFonts w:ascii="等线" w:eastAsia="等线" w:hAnsi="Times New Roman"/>
          <w:color w:val="000000"/>
        </w:rPr>
        <w:t>Acted as the person-in-charge of bankruptcy administrator of Shanghai Shengnan Industrial Development Co., Ltd.</w:t>
      </w:r>
      <w:r w:rsidRPr="00FA2300">
        <w:rPr>
          <w:rFonts w:ascii="等线" w:eastAsia="等线" w:hAnsi="Times New Roman"/>
          <w:color w:val="000000"/>
        </w:rPr>
        <w:t>’</w:t>
      </w:r>
      <w:r w:rsidRPr="00FA2300">
        <w:rPr>
          <w:rFonts w:ascii="等线" w:eastAsia="等线" w:hAnsi="Times New Roman"/>
          <w:color w:val="000000"/>
        </w:rPr>
        <w:t>s restructuring; the case was the first statutorily supported restructuring case PRC-wide in which the court appointed the administrator based on the applicant's nomination, and was also the first restructuring case commenced by the Bankruptcy Tribunal of the Shanghai Pudong New Area People's Court since its establishment; the case was selected as one of the Classic Bankruptcy Trial Cases of the Shanghai Pudong New Area People</w:t>
      </w:r>
      <w:r w:rsidRPr="00FA2300">
        <w:rPr>
          <w:rFonts w:ascii="等线" w:eastAsia="等线" w:hAnsi="Times New Roman"/>
          <w:color w:val="000000"/>
        </w:rPr>
        <w:t>’</w:t>
      </w:r>
      <w:r w:rsidRPr="00FA2300">
        <w:rPr>
          <w:rFonts w:ascii="等线" w:eastAsia="等线" w:hAnsi="Times New Roman"/>
          <w:color w:val="000000"/>
        </w:rPr>
        <w:t>s Court in 2022</w:t>
      </w:r>
    </w:p>
    <w:p w14:paraId="319E2FA3" w14:textId="77777777" w:rsidR="00FA2300" w:rsidRDefault="00FA2300" w:rsidP="00FA2300">
      <w:pPr>
        <w:pStyle w:val="af5"/>
        <w:numPr>
          <w:ilvl w:val="0"/>
          <w:numId w:val="8"/>
        </w:numPr>
        <w:spacing w:before="120"/>
        <w:ind w:left="690" w:hanging="240"/>
        <w:rPr>
          <w:rFonts w:ascii="等线" w:eastAsia="等线" w:hAnsi="Times New Roman"/>
          <w:color w:val="000000"/>
        </w:rPr>
      </w:pPr>
      <w:r w:rsidRPr="00FA2300">
        <w:rPr>
          <w:rFonts w:ascii="等线" w:eastAsia="等线" w:hAnsi="Times New Roman"/>
          <w:color w:val="000000"/>
        </w:rPr>
        <w:t>Acted as the person-in-charge of (interim) bankruptcy administrator of Dingli Real Estate (Shanghai) Co., Ltd.'s prepackaged restructuring and restructuring, which was the first prepackaged restructuring case commenced by the Shanghai Bankruptcy Court after the promulgation of the Shanghai Bankruptcy Court</w:t>
      </w:r>
      <w:r w:rsidRPr="00FA2300">
        <w:rPr>
          <w:rFonts w:ascii="等线" w:eastAsia="等线" w:hAnsi="Times New Roman"/>
          <w:color w:val="000000"/>
        </w:rPr>
        <w:t>’</w:t>
      </w:r>
      <w:r w:rsidRPr="00FA2300">
        <w:rPr>
          <w:rFonts w:ascii="等线" w:eastAsia="等线" w:hAnsi="Times New Roman"/>
          <w:color w:val="000000"/>
        </w:rPr>
        <w:t>s Prepackaged Restructuring Cases Handling Regulations (Trial) and was selected as one of the 2022 Classic Cases of the Shanghai Bankruptcy Court and was also the top scorer of 2022 Top Ten Cases of Administrator</w:t>
      </w:r>
      <w:r w:rsidRPr="00FA2300">
        <w:rPr>
          <w:rFonts w:ascii="等线" w:eastAsia="等线" w:hAnsi="Times New Roman"/>
          <w:color w:val="000000"/>
        </w:rPr>
        <w:t>’</w:t>
      </w:r>
      <w:r w:rsidRPr="00FA2300">
        <w:rPr>
          <w:rFonts w:ascii="等线" w:eastAsia="等线" w:hAnsi="Times New Roman"/>
          <w:color w:val="000000"/>
        </w:rPr>
        <w:t>s Outstanding Duty Performance of the Shanghai Bankruptcy Court</w:t>
      </w:r>
    </w:p>
    <w:p w14:paraId="291D62C7" w14:textId="77777777" w:rsidR="00FA2300" w:rsidRDefault="00FA2300" w:rsidP="00FA2300">
      <w:pPr>
        <w:pStyle w:val="af5"/>
        <w:numPr>
          <w:ilvl w:val="0"/>
          <w:numId w:val="9"/>
        </w:numPr>
        <w:spacing w:before="120"/>
        <w:ind w:left="690" w:hanging="240"/>
        <w:rPr>
          <w:rFonts w:ascii="等线" w:eastAsia="等线" w:hAnsi="Times New Roman"/>
          <w:color w:val="000000"/>
        </w:rPr>
      </w:pPr>
      <w:r w:rsidRPr="00FA2300">
        <w:rPr>
          <w:rFonts w:ascii="等线" w:eastAsia="等线" w:hAnsi="Times New Roman"/>
          <w:color w:val="000000"/>
        </w:rPr>
        <w:t>Acted as the person-in-charge of administrator of Shanghai Sansheng Hongye Investment (Group) Co., Ltd.</w:t>
      </w:r>
      <w:r w:rsidRPr="00FA2300">
        <w:rPr>
          <w:rFonts w:ascii="等线" w:eastAsia="等线" w:hAnsi="Times New Roman"/>
          <w:color w:val="000000"/>
        </w:rPr>
        <w:t>’</w:t>
      </w:r>
      <w:r w:rsidRPr="00FA2300">
        <w:rPr>
          <w:rFonts w:ascii="等线" w:eastAsia="等线" w:hAnsi="Times New Roman"/>
          <w:color w:val="000000"/>
        </w:rPr>
        <w:t>s bankruptcy, with debts at issue amounting to RMB tens of billions</w:t>
      </w:r>
    </w:p>
    <w:p w14:paraId="08A078EC" w14:textId="77777777" w:rsidR="00FA2300" w:rsidRDefault="00FA2300" w:rsidP="00FA2300">
      <w:pPr>
        <w:pStyle w:val="af5"/>
        <w:numPr>
          <w:ilvl w:val="0"/>
          <w:numId w:val="10"/>
        </w:numPr>
        <w:spacing w:before="120"/>
        <w:ind w:left="690" w:hanging="240"/>
        <w:rPr>
          <w:rFonts w:ascii="等线" w:eastAsia="等线" w:hAnsi="Times New Roman"/>
          <w:color w:val="000000"/>
        </w:rPr>
      </w:pPr>
      <w:r w:rsidRPr="00FA2300">
        <w:rPr>
          <w:rFonts w:ascii="等线" w:eastAsia="等线" w:hAnsi="Times New Roman"/>
          <w:color w:val="000000"/>
        </w:rPr>
        <w:t>Represented a major creditor and former investor in the prepackaged restructuring and restructuring of the listed company Caissa Tosun Development Co., Ltd. (000796)</w:t>
      </w:r>
    </w:p>
    <w:p w14:paraId="58C1CC3A" w14:textId="77777777" w:rsidR="00FA2300" w:rsidRDefault="00FA2300" w:rsidP="00FA2300">
      <w:pPr>
        <w:pStyle w:val="af5"/>
        <w:numPr>
          <w:ilvl w:val="0"/>
          <w:numId w:val="11"/>
        </w:numPr>
        <w:spacing w:before="120"/>
        <w:ind w:left="690" w:hanging="240"/>
        <w:rPr>
          <w:rFonts w:ascii="等线" w:eastAsia="等线" w:hAnsi="Times New Roman"/>
          <w:color w:val="000000"/>
        </w:rPr>
      </w:pPr>
      <w:r w:rsidRPr="00FA2300">
        <w:rPr>
          <w:rFonts w:ascii="等线" w:eastAsia="等线" w:hAnsi="Times New Roman"/>
          <w:color w:val="000000"/>
        </w:rPr>
        <w:t>Acted as the counselor for the local government and bankruptcy administrator of Neoglory Group and its affiliates, with debts at issue amounting to RMB tens of billions</w:t>
      </w:r>
    </w:p>
    <w:p w14:paraId="4F1020C6" w14:textId="77777777" w:rsidR="00FA2300" w:rsidRDefault="00FA2300" w:rsidP="00FA2300">
      <w:pPr>
        <w:pStyle w:val="af5"/>
        <w:numPr>
          <w:ilvl w:val="0"/>
          <w:numId w:val="12"/>
        </w:numPr>
        <w:spacing w:before="120"/>
        <w:ind w:left="690" w:hanging="240"/>
        <w:rPr>
          <w:rFonts w:ascii="等线" w:eastAsia="等线" w:hAnsi="Times New Roman"/>
          <w:color w:val="000000"/>
        </w:rPr>
      </w:pPr>
      <w:r w:rsidRPr="00FA2300">
        <w:rPr>
          <w:rFonts w:ascii="等线" w:eastAsia="等线" w:hAnsi="Times New Roman"/>
          <w:color w:val="000000"/>
        </w:rPr>
        <w:t>Acted as the person-in-charge of bankruptcy administrator of the insolvency liquidation of Shanghai Jingmao Culture Communication Co., Ltd., a subsidiary of Sohu Group</w:t>
      </w:r>
    </w:p>
    <w:p w14:paraId="02EFDB06" w14:textId="77777777" w:rsidR="00FA2300" w:rsidRDefault="00FA2300" w:rsidP="00FA2300">
      <w:pPr>
        <w:pStyle w:val="af5"/>
        <w:numPr>
          <w:ilvl w:val="0"/>
          <w:numId w:val="13"/>
        </w:numPr>
        <w:spacing w:before="120"/>
        <w:ind w:left="690" w:hanging="240"/>
        <w:rPr>
          <w:rFonts w:ascii="等线" w:eastAsia="等线" w:hAnsi="Times New Roman"/>
          <w:color w:val="000000"/>
        </w:rPr>
      </w:pPr>
      <w:r w:rsidRPr="00FA2300">
        <w:rPr>
          <w:rFonts w:ascii="等线" w:eastAsia="等线" w:hAnsi="Times New Roman"/>
          <w:color w:val="000000"/>
        </w:rPr>
        <w:t>Represented the Chinese Academy of Sciences Holdings Co., Ltd. and several scientific research institutions affiliated to the Chinese Academy of Sciences to proceed with the corporate liquidation work</w:t>
      </w:r>
    </w:p>
    <w:p w14:paraId="23EF9D01" w14:textId="77777777" w:rsidR="00FA2300" w:rsidRDefault="00FA2300" w:rsidP="00FA2300">
      <w:pPr>
        <w:pStyle w:val="af5"/>
        <w:numPr>
          <w:ilvl w:val="0"/>
          <w:numId w:val="14"/>
        </w:numPr>
        <w:spacing w:before="120"/>
        <w:ind w:left="690" w:hanging="240"/>
        <w:rPr>
          <w:rFonts w:ascii="等线" w:eastAsia="等线" w:hAnsi="Times New Roman"/>
          <w:color w:val="000000"/>
        </w:rPr>
      </w:pPr>
      <w:r w:rsidRPr="00FA2300">
        <w:rPr>
          <w:rFonts w:ascii="等线" w:eastAsia="等线" w:hAnsi="Times New Roman"/>
          <w:color w:val="000000"/>
        </w:rPr>
        <w:t>Represented a world-leading viscose rayon multinational company in the acquisition of a PRC company in the same industry through bankruptcy proceedings, which was selected as one of the 2020 Classic Bankruptcy Trial Cases of Jiangsu Courts published by the Jiangsu High People's Court</w:t>
      </w:r>
    </w:p>
    <w:p w14:paraId="704EB504" w14:textId="77777777" w:rsidR="00FA2300" w:rsidRDefault="00FA2300" w:rsidP="00FA2300">
      <w:pPr>
        <w:pStyle w:val="af5"/>
        <w:numPr>
          <w:ilvl w:val="0"/>
          <w:numId w:val="15"/>
        </w:numPr>
        <w:spacing w:before="120"/>
        <w:ind w:left="690" w:hanging="240"/>
        <w:rPr>
          <w:rFonts w:ascii="等线" w:eastAsia="等线" w:hAnsi="Times New Roman"/>
          <w:color w:val="000000"/>
        </w:rPr>
      </w:pPr>
      <w:r w:rsidRPr="00FA2300">
        <w:rPr>
          <w:rFonts w:ascii="等线" w:eastAsia="等线" w:hAnsi="Times New Roman"/>
          <w:color w:val="000000"/>
        </w:rPr>
        <w:t>Represented COQAMC as the investor in multiple bankruptcy reorganization and liquidation projects in Sichuan, Jiangxi and other places</w:t>
      </w:r>
    </w:p>
    <w:p w14:paraId="6DFD30FC" w14:textId="77777777" w:rsidR="00FA2300" w:rsidRDefault="00FA2300" w:rsidP="00FA2300">
      <w:pPr>
        <w:pStyle w:val="af5"/>
        <w:numPr>
          <w:ilvl w:val="0"/>
          <w:numId w:val="16"/>
        </w:numPr>
        <w:spacing w:before="120"/>
        <w:ind w:left="690" w:hanging="240"/>
        <w:rPr>
          <w:rFonts w:ascii="等线" w:eastAsia="等线" w:hAnsi="Times New Roman"/>
          <w:color w:val="000000"/>
        </w:rPr>
      </w:pPr>
      <w:r w:rsidRPr="00FA2300">
        <w:rPr>
          <w:rFonts w:ascii="等线" w:eastAsia="等线" w:hAnsi="Times New Roman"/>
          <w:color w:val="000000"/>
        </w:rPr>
        <w:t>Represented the chair of the creditors</w:t>
      </w:r>
      <w:r w:rsidRPr="00FA2300">
        <w:rPr>
          <w:rFonts w:ascii="等线" w:eastAsia="等线" w:hAnsi="Times New Roman"/>
          <w:color w:val="000000"/>
        </w:rPr>
        <w:t>’</w:t>
      </w:r>
      <w:r w:rsidRPr="00FA2300">
        <w:rPr>
          <w:rFonts w:ascii="等线" w:eastAsia="等线" w:hAnsi="Times New Roman"/>
          <w:color w:val="000000"/>
        </w:rPr>
        <w:t xml:space="preserve"> committee in the bankruptcy project of Nantong Mingde</w:t>
      </w:r>
    </w:p>
    <w:p w14:paraId="2D90BE78" w14:textId="77777777" w:rsidR="00FA2300" w:rsidRDefault="00FA2300" w:rsidP="00FA2300">
      <w:pPr>
        <w:pStyle w:val="af5"/>
        <w:numPr>
          <w:ilvl w:val="0"/>
          <w:numId w:val="17"/>
        </w:numPr>
        <w:spacing w:before="120"/>
        <w:ind w:left="690" w:hanging="240"/>
        <w:rPr>
          <w:rFonts w:ascii="等线" w:eastAsia="等线" w:hAnsi="Times New Roman"/>
          <w:color w:val="000000"/>
        </w:rPr>
      </w:pPr>
      <w:r w:rsidRPr="00FA2300">
        <w:rPr>
          <w:rFonts w:ascii="等线" w:eastAsia="等线" w:hAnsi="Times New Roman"/>
          <w:color w:val="000000"/>
        </w:rPr>
        <w:t>Advised a PRC shipping company on PRC bankruptcy law issues in a legal proceeding before the High Court of the Republic of Singapore</w:t>
      </w:r>
    </w:p>
    <w:p w14:paraId="4B373DE7" w14:textId="77777777" w:rsidR="00FA2300" w:rsidRDefault="00FA2300" w:rsidP="00FA2300">
      <w:pPr>
        <w:pStyle w:val="af5"/>
        <w:numPr>
          <w:ilvl w:val="0"/>
          <w:numId w:val="18"/>
        </w:numPr>
        <w:spacing w:before="120"/>
        <w:ind w:left="690" w:hanging="240"/>
        <w:rPr>
          <w:rFonts w:ascii="等线" w:eastAsia="等线" w:hAnsi="Times New Roman"/>
          <w:color w:val="000000"/>
        </w:rPr>
      </w:pPr>
      <w:r w:rsidRPr="00FA2300">
        <w:rPr>
          <w:rFonts w:ascii="等线" w:eastAsia="等线" w:hAnsi="Times New Roman"/>
          <w:color w:val="000000"/>
        </w:rPr>
        <w:t>Represented an offshore syndicate in the bankruptcy of Dalian STX</w:t>
      </w:r>
    </w:p>
    <w:p w14:paraId="38EEB257" w14:textId="77777777" w:rsidR="00FA2300" w:rsidRDefault="00FA2300" w:rsidP="00FA2300">
      <w:pPr>
        <w:pStyle w:val="af5"/>
        <w:numPr>
          <w:ilvl w:val="0"/>
          <w:numId w:val="19"/>
        </w:numPr>
        <w:spacing w:before="120"/>
        <w:ind w:left="690" w:hanging="240"/>
        <w:rPr>
          <w:rFonts w:ascii="等线" w:eastAsia="等线" w:hAnsi="Times New Roman"/>
          <w:color w:val="000000"/>
        </w:rPr>
      </w:pPr>
      <w:r w:rsidRPr="00FA2300">
        <w:rPr>
          <w:rFonts w:ascii="等线" w:eastAsia="等线" w:hAnsi="Times New Roman"/>
          <w:color w:val="000000"/>
        </w:rPr>
        <w:t>Represented offshore special opportunity funds in the acquisition of bankruptcy projects regarding real estate in Shenzhen, Hubei and other places</w:t>
      </w:r>
    </w:p>
    <w:p w14:paraId="72F58477" w14:textId="77777777" w:rsidR="00FA2300" w:rsidRDefault="00FA2300" w:rsidP="00FA2300">
      <w:pPr>
        <w:pStyle w:val="af5"/>
        <w:numPr>
          <w:ilvl w:val="0"/>
          <w:numId w:val="20"/>
        </w:numPr>
        <w:spacing w:before="120"/>
        <w:ind w:left="690" w:hanging="240"/>
        <w:rPr>
          <w:rFonts w:ascii="等线" w:eastAsia="等线" w:hAnsi="Times New Roman"/>
          <w:color w:val="000000"/>
        </w:rPr>
      </w:pPr>
      <w:r w:rsidRPr="00FA2300">
        <w:rPr>
          <w:rFonts w:ascii="等线" w:eastAsia="等线" w:hAnsi="Times New Roman"/>
          <w:color w:val="000000"/>
        </w:rPr>
        <w:t>Represented and advised multiple foreign-invested companies on handling the liquidation issues of their subsidiaries in China</w:t>
      </w:r>
    </w:p>
    <w:p w14:paraId="0C3F9A94" w14:textId="77777777" w:rsidR="00FA2300" w:rsidRDefault="00FA2300" w:rsidP="00FA2300">
      <w:pPr>
        <w:pStyle w:val="af5"/>
        <w:spacing w:before="120"/>
        <w:rPr>
          <w:rFonts w:ascii="等线" w:eastAsia="等线" w:hAnsi="Times New Roman"/>
          <w:color w:val="000000"/>
        </w:rPr>
      </w:pPr>
      <w:r w:rsidRPr="00FA2300">
        <w:rPr>
          <w:rFonts w:ascii="等线" w:eastAsia="等线" w:hAnsi="Times New Roman"/>
          <w:color w:val="000000"/>
        </w:rPr>
        <w:t>Commercial Dispute Resolution</w:t>
      </w:r>
    </w:p>
    <w:p w14:paraId="2EC899AD" w14:textId="77777777" w:rsidR="00FA2300" w:rsidRDefault="00FA2300" w:rsidP="00FA2300">
      <w:pPr>
        <w:pStyle w:val="af5"/>
        <w:numPr>
          <w:ilvl w:val="0"/>
          <w:numId w:val="21"/>
        </w:numPr>
        <w:spacing w:before="120"/>
        <w:ind w:left="690" w:hanging="240"/>
        <w:rPr>
          <w:rFonts w:ascii="等线" w:eastAsia="等线" w:hAnsi="Times New Roman"/>
          <w:color w:val="000000"/>
        </w:rPr>
      </w:pPr>
      <w:r w:rsidRPr="00FA2300">
        <w:rPr>
          <w:rFonts w:ascii="等线" w:eastAsia="等线" w:hAnsi="Times New Roman"/>
          <w:color w:val="000000"/>
        </w:rPr>
        <w:t>Represented Everbright Securities in litigation with Baofeng Group over disputes worth several billion RMB arising from a landmark cross-border M&amp;A transaction</w:t>
      </w:r>
    </w:p>
    <w:p w14:paraId="5358BD9E" w14:textId="77777777" w:rsidR="00FA2300" w:rsidRDefault="00FA2300" w:rsidP="00FA2300">
      <w:pPr>
        <w:pStyle w:val="af5"/>
        <w:numPr>
          <w:ilvl w:val="0"/>
          <w:numId w:val="22"/>
        </w:numPr>
        <w:spacing w:before="120"/>
        <w:ind w:left="690" w:hanging="240"/>
        <w:rPr>
          <w:rFonts w:ascii="等线" w:eastAsia="等线" w:hAnsi="Times New Roman"/>
          <w:color w:val="000000"/>
        </w:rPr>
      </w:pPr>
      <w:r w:rsidRPr="00FA2300">
        <w:rPr>
          <w:rFonts w:ascii="等线" w:eastAsia="等线" w:hAnsi="Times New Roman"/>
          <w:color w:val="000000"/>
        </w:rPr>
        <w:t>Represented a NASDAQ-listed company</w:t>
      </w:r>
      <w:r w:rsidRPr="00FA2300">
        <w:rPr>
          <w:rFonts w:ascii="等线" w:eastAsia="等线" w:hAnsi="Times New Roman"/>
          <w:color w:val="000000"/>
        </w:rPr>
        <w:t>’</w:t>
      </w:r>
      <w:r w:rsidRPr="00FA2300">
        <w:rPr>
          <w:rFonts w:ascii="等线" w:eastAsia="等线" w:hAnsi="Times New Roman"/>
          <w:color w:val="000000"/>
        </w:rPr>
        <w:t>s Hong Kong subsidiary in a joint venture dispute against a PRC state-owned company before the China International Economic and Trade Arbitration Commission</w:t>
      </w:r>
    </w:p>
    <w:p w14:paraId="3053CC4E" w14:textId="77777777" w:rsidR="00FA2300" w:rsidRDefault="00FA2300" w:rsidP="00FA2300">
      <w:pPr>
        <w:pStyle w:val="af5"/>
        <w:numPr>
          <w:ilvl w:val="0"/>
          <w:numId w:val="23"/>
        </w:numPr>
        <w:spacing w:before="120"/>
        <w:ind w:left="690" w:hanging="240"/>
        <w:rPr>
          <w:rFonts w:ascii="等线" w:eastAsia="等线" w:hAnsi="Times New Roman"/>
          <w:color w:val="000000"/>
        </w:rPr>
      </w:pPr>
      <w:r w:rsidRPr="00FA2300">
        <w:rPr>
          <w:rFonts w:ascii="等线" w:eastAsia="等线" w:hAnsi="Times New Roman"/>
          <w:color w:val="000000"/>
        </w:rPr>
        <w:t>Represented a multinational pharmaceutical and life sciences company headquartered in Germany in disputes arising from a series of high-profile mergers and acquisitions</w:t>
      </w:r>
    </w:p>
    <w:p w14:paraId="0DA39C11" w14:textId="77777777" w:rsidR="00FA2300" w:rsidRDefault="00FA2300" w:rsidP="00FA2300">
      <w:pPr>
        <w:pStyle w:val="af5"/>
        <w:numPr>
          <w:ilvl w:val="0"/>
          <w:numId w:val="24"/>
        </w:numPr>
        <w:spacing w:before="120"/>
        <w:ind w:left="690" w:hanging="240"/>
        <w:rPr>
          <w:rFonts w:ascii="等线" w:eastAsia="等线" w:hAnsi="Times New Roman"/>
          <w:color w:val="000000"/>
        </w:rPr>
      </w:pPr>
      <w:r w:rsidRPr="00FA2300">
        <w:rPr>
          <w:rFonts w:ascii="等线" w:eastAsia="等线" w:hAnsi="Times New Roman"/>
          <w:color w:val="000000"/>
        </w:rPr>
        <w:t>Represented a US-based biotechnology product development company</w:t>
      </w:r>
      <w:r w:rsidRPr="00FA2300">
        <w:rPr>
          <w:rFonts w:ascii="等线" w:eastAsia="等线" w:hAnsi="Times New Roman"/>
          <w:color w:val="000000"/>
        </w:rPr>
        <w:t>’</w:t>
      </w:r>
      <w:r w:rsidRPr="00FA2300">
        <w:rPr>
          <w:rFonts w:ascii="等线" w:eastAsia="等线" w:hAnsi="Times New Roman"/>
          <w:color w:val="000000"/>
        </w:rPr>
        <w:t>s PRC subsidiary in a dispute over a distribution agreement before the China International Economic and Trade Arbitration Commission</w:t>
      </w:r>
    </w:p>
    <w:p w14:paraId="4DAE30BE" w14:textId="77777777" w:rsidR="00FA2300" w:rsidRDefault="00FA2300" w:rsidP="00FA2300">
      <w:pPr>
        <w:pStyle w:val="af5"/>
        <w:numPr>
          <w:ilvl w:val="0"/>
          <w:numId w:val="25"/>
        </w:numPr>
        <w:spacing w:before="120"/>
        <w:ind w:left="690" w:hanging="240"/>
        <w:rPr>
          <w:rFonts w:ascii="等线" w:eastAsia="等线" w:hAnsi="Times New Roman"/>
          <w:color w:val="000000"/>
        </w:rPr>
      </w:pPr>
      <w:r w:rsidRPr="00FA2300">
        <w:rPr>
          <w:rFonts w:ascii="等线" w:eastAsia="等线" w:hAnsi="Times New Roman"/>
          <w:color w:val="000000"/>
        </w:rPr>
        <w:t>Represented a multinational engineering company headquartered in the UK in various disputes on sale and purchase agreements and distribution agreements</w:t>
      </w:r>
    </w:p>
    <w:p w14:paraId="0623DB7E" w14:textId="77777777" w:rsidR="00FA2300" w:rsidRDefault="00FA2300" w:rsidP="00FA2300">
      <w:pPr>
        <w:pStyle w:val="af5"/>
        <w:numPr>
          <w:ilvl w:val="0"/>
          <w:numId w:val="26"/>
        </w:numPr>
        <w:spacing w:before="120"/>
        <w:ind w:left="690" w:hanging="240"/>
        <w:rPr>
          <w:rFonts w:ascii="等线" w:eastAsia="等线" w:hAnsi="Times New Roman"/>
          <w:color w:val="000000"/>
        </w:rPr>
      </w:pPr>
      <w:r w:rsidRPr="00FA2300">
        <w:rPr>
          <w:rFonts w:ascii="等线" w:eastAsia="等线" w:hAnsi="Times New Roman"/>
          <w:color w:val="000000"/>
        </w:rPr>
        <w:t>Represented a Frankfurt-listed specialty chemicals company</w:t>
      </w:r>
      <w:r w:rsidRPr="00FA2300">
        <w:rPr>
          <w:rFonts w:ascii="等线" w:eastAsia="等线" w:hAnsi="Times New Roman"/>
          <w:color w:val="000000"/>
        </w:rPr>
        <w:t>’</w:t>
      </w:r>
      <w:r w:rsidRPr="00FA2300">
        <w:rPr>
          <w:rFonts w:ascii="等线" w:eastAsia="等线" w:hAnsi="Times New Roman"/>
          <w:color w:val="000000"/>
        </w:rPr>
        <w:t>s PRC subsidiary in a technology transfer dispute before the Shanghai International Economic and Trade Arbitration Commission (Shanghai International Arbitration Center)</w:t>
      </w:r>
    </w:p>
    <w:p w14:paraId="0D6E9EDB" w14:textId="77777777" w:rsidR="00FA2300" w:rsidRDefault="00FA2300" w:rsidP="00FA2300">
      <w:pPr>
        <w:pStyle w:val="af5"/>
        <w:numPr>
          <w:ilvl w:val="0"/>
          <w:numId w:val="27"/>
        </w:numPr>
        <w:spacing w:before="120"/>
        <w:ind w:left="690" w:hanging="240"/>
        <w:rPr>
          <w:rFonts w:ascii="等线" w:eastAsia="等线" w:hAnsi="Times New Roman"/>
          <w:color w:val="000000"/>
        </w:rPr>
      </w:pPr>
      <w:r w:rsidRPr="00FA2300">
        <w:rPr>
          <w:rFonts w:ascii="等线" w:eastAsia="等线" w:hAnsi="Times New Roman"/>
          <w:color w:val="000000"/>
        </w:rPr>
        <w:t>Represented a leading global construction engineering company headquartered in Germany in an engineering contract dispute before the Shanghai Arbitration Commission</w:t>
      </w:r>
    </w:p>
    <w:p w14:paraId="466AAB56" w14:textId="77777777" w:rsidR="00FA2300" w:rsidRDefault="00FA2300" w:rsidP="00FA2300">
      <w:pPr>
        <w:pStyle w:val="af5"/>
        <w:numPr>
          <w:ilvl w:val="0"/>
          <w:numId w:val="28"/>
        </w:numPr>
        <w:spacing w:before="120"/>
        <w:ind w:left="690" w:hanging="240"/>
        <w:rPr>
          <w:rFonts w:ascii="等线" w:eastAsia="等线" w:hAnsi="Times New Roman"/>
          <w:color w:val="000000"/>
        </w:rPr>
      </w:pPr>
      <w:r w:rsidRPr="00FA2300">
        <w:rPr>
          <w:rFonts w:ascii="等线" w:eastAsia="等线" w:hAnsi="Times New Roman"/>
          <w:color w:val="000000"/>
        </w:rPr>
        <w:t>Represented an international media and entertainment giant in disputes on license agreements before the China International Economic and Trade Arbitration Commission</w:t>
      </w:r>
    </w:p>
    <w:p w14:paraId="37E94FA8" w14:textId="77777777" w:rsidR="00FA2300" w:rsidRDefault="00FA2300" w:rsidP="00FA2300">
      <w:pPr>
        <w:pStyle w:val="af5"/>
        <w:numPr>
          <w:ilvl w:val="0"/>
          <w:numId w:val="29"/>
        </w:numPr>
        <w:spacing w:before="120"/>
        <w:ind w:left="690" w:hanging="240"/>
        <w:rPr>
          <w:rFonts w:ascii="等线" w:eastAsia="等线" w:hAnsi="Times New Roman"/>
          <w:color w:val="000000"/>
        </w:rPr>
      </w:pPr>
      <w:r w:rsidRPr="00FA2300">
        <w:rPr>
          <w:rFonts w:ascii="等线" w:eastAsia="等线" w:hAnsi="Times New Roman"/>
          <w:color w:val="000000"/>
        </w:rPr>
        <w:t>Represented a leading global automobile company in multiple litigation proceedings in PRC Courts in disputes arising from major accidents</w:t>
      </w:r>
    </w:p>
    <w:p w14:paraId="7EF81F61" w14:textId="77777777" w:rsidR="00FA2300" w:rsidRDefault="00FA2300" w:rsidP="00FA2300">
      <w:pPr>
        <w:pStyle w:val="af5"/>
        <w:numPr>
          <w:ilvl w:val="0"/>
          <w:numId w:val="30"/>
        </w:numPr>
        <w:spacing w:before="120"/>
        <w:ind w:left="690" w:hanging="240"/>
        <w:rPr>
          <w:rFonts w:ascii="等线" w:eastAsia="等线" w:hAnsi="Times New Roman"/>
          <w:color w:val="000000"/>
        </w:rPr>
      </w:pPr>
      <w:r w:rsidRPr="00FA2300">
        <w:rPr>
          <w:rFonts w:ascii="等线" w:eastAsia="等线" w:hAnsi="Times New Roman"/>
          <w:color w:val="000000"/>
        </w:rPr>
        <w:t>Represented multiple offshore companies in several application proceedings in PRC Courts for the recognition and enforcement of arbitral awards rendered in foreign jurisdictions</w:t>
      </w:r>
    </w:p>
    <w:p w14:paraId="1B42B0C6" w14:textId="77777777" w:rsidR="00FA2300" w:rsidRDefault="00FA2300" w:rsidP="00FA2300">
      <w:pPr>
        <w:pStyle w:val="af5"/>
        <w:numPr>
          <w:ilvl w:val="0"/>
          <w:numId w:val="31"/>
        </w:numPr>
        <w:spacing w:before="120"/>
        <w:ind w:left="690" w:hanging="240"/>
        <w:rPr>
          <w:rFonts w:ascii="等线" w:eastAsia="等线" w:hAnsi="Times New Roman"/>
          <w:color w:val="000000"/>
        </w:rPr>
      </w:pPr>
      <w:r w:rsidRPr="00FA2300">
        <w:rPr>
          <w:rFonts w:ascii="等线" w:eastAsia="等线" w:hAnsi="Times New Roman"/>
          <w:color w:val="000000"/>
        </w:rPr>
        <w:t>Represented a PRC borrower in a series of disputes over international syndicated loans</w:t>
      </w:r>
    </w:p>
    <w:p w14:paraId="3F554BC8" w14:textId="77777777" w:rsidR="00FA2300" w:rsidRDefault="00FA2300" w:rsidP="00FA2300">
      <w:pPr>
        <w:pStyle w:val="af5"/>
        <w:spacing w:after="0" w:line="480" w:lineRule="auto"/>
        <w:rPr>
          <w:rFonts w:ascii="等线" w:eastAsia="等线" w:hAnsi="等线"/>
          <w:b/>
          <w:sz w:val="24"/>
        </w:rPr>
      </w:pPr>
      <w:r w:rsidRPr="00FA2300">
        <w:rPr>
          <w:rFonts w:ascii="等线" w:eastAsia="等线" w:hAnsi="等线"/>
          <w:b/>
          <w:sz w:val="24"/>
        </w:rPr>
        <w:t>Education</w:t>
      </w:r>
    </w:p>
    <w:p w14:paraId="29AC4279" w14:textId="77777777" w:rsidR="00FA2300" w:rsidRDefault="00FA2300" w:rsidP="00FA2300">
      <w:pPr>
        <w:pStyle w:val="af5"/>
        <w:numPr>
          <w:ilvl w:val="0"/>
          <w:numId w:val="32"/>
        </w:numPr>
        <w:spacing w:before="120"/>
        <w:ind w:left="690" w:hanging="240"/>
        <w:rPr>
          <w:rFonts w:ascii="等线" w:eastAsia="等线" w:hAnsi="Times New Roman"/>
          <w:color w:val="000000"/>
        </w:rPr>
      </w:pPr>
      <w:r w:rsidRPr="00FA2300">
        <w:rPr>
          <w:rFonts w:ascii="等线" w:eastAsia="等线" w:hAnsi="Times New Roman"/>
          <w:color w:val="000000"/>
        </w:rPr>
        <w:t>University of Wisconsin, Law School, J.D.</w:t>
      </w:r>
    </w:p>
    <w:p w14:paraId="49A1821E" w14:textId="77777777" w:rsidR="00FA2300" w:rsidRDefault="00FA2300" w:rsidP="00FA2300">
      <w:pPr>
        <w:pStyle w:val="af5"/>
        <w:numPr>
          <w:ilvl w:val="0"/>
          <w:numId w:val="33"/>
        </w:numPr>
        <w:spacing w:before="120"/>
        <w:ind w:left="690" w:hanging="240"/>
        <w:rPr>
          <w:rFonts w:ascii="等线" w:eastAsia="等线" w:hAnsi="Times New Roman"/>
          <w:color w:val="000000"/>
        </w:rPr>
      </w:pPr>
      <w:r w:rsidRPr="00FA2300">
        <w:rPr>
          <w:rFonts w:ascii="等线" w:eastAsia="等线" w:hAnsi="Times New Roman"/>
          <w:color w:val="000000"/>
        </w:rPr>
        <w:t>China University of Political Science and Law, Law School, LL.B.</w:t>
      </w:r>
    </w:p>
    <w:p w14:paraId="43DE0E99" w14:textId="77777777" w:rsidR="00FA2300" w:rsidRDefault="00FA2300" w:rsidP="00FA2300">
      <w:pPr>
        <w:pStyle w:val="af5"/>
        <w:spacing w:after="0" w:line="480" w:lineRule="auto"/>
        <w:rPr>
          <w:rFonts w:ascii="等线" w:eastAsia="等线" w:hAnsi="等线"/>
          <w:b/>
          <w:sz w:val="24"/>
        </w:rPr>
      </w:pPr>
      <w:r w:rsidRPr="00FA2300">
        <w:rPr>
          <w:rFonts w:ascii="等线" w:eastAsia="等线" w:hAnsi="等线"/>
          <w:b/>
          <w:sz w:val="24"/>
        </w:rPr>
        <w:t>Professional Qualification</w:t>
      </w:r>
    </w:p>
    <w:p w14:paraId="6E831DCF" w14:textId="77777777" w:rsidR="00FA2300" w:rsidRDefault="00FA2300" w:rsidP="00FA2300">
      <w:pPr>
        <w:pStyle w:val="af5"/>
        <w:numPr>
          <w:ilvl w:val="0"/>
          <w:numId w:val="34"/>
        </w:numPr>
        <w:spacing w:before="120"/>
        <w:ind w:left="690" w:hanging="240"/>
        <w:rPr>
          <w:rFonts w:ascii="等线" w:eastAsia="等线" w:hAnsi="Times New Roman"/>
          <w:color w:val="000000"/>
        </w:rPr>
      </w:pPr>
      <w:r w:rsidRPr="00FA2300">
        <w:rPr>
          <w:rFonts w:ascii="等线" w:eastAsia="等线" w:hAnsi="Times New Roman"/>
          <w:color w:val="000000"/>
        </w:rPr>
        <w:t>Admitted to practice in the PRC</w:t>
      </w:r>
    </w:p>
    <w:p w14:paraId="5567FC3C" w14:textId="371B8D94" w:rsidR="00686369" w:rsidRPr="00FA2300" w:rsidRDefault="00FA2300" w:rsidP="00FA2300">
      <w:pPr>
        <w:pStyle w:val="af5"/>
        <w:numPr>
          <w:ilvl w:val="0"/>
          <w:numId w:val="35"/>
        </w:numPr>
        <w:spacing w:before="120"/>
        <w:ind w:left="690" w:hanging="240"/>
        <w:rPr>
          <w:rFonts w:ascii="等线" w:eastAsia="等线" w:hAnsi="Times New Roman"/>
          <w:color w:val="000000"/>
        </w:rPr>
      </w:pPr>
      <w:r w:rsidRPr="00FA2300">
        <w:rPr>
          <w:rFonts w:ascii="等线" w:eastAsia="等线" w:hAnsi="Times New Roman"/>
          <w:color w:val="000000"/>
        </w:rPr>
        <w:t>Admitted to practice in Wisconsin</w:t>
      </w:r>
    </w:p>
    <w:sectPr w:rsidR="00686369" w:rsidRPr="00FA230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663DA"/>
    <w:multiLevelType w:val="singleLevel"/>
    <w:tmpl w:val="62329E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D23BCD"/>
    <w:multiLevelType w:val="singleLevel"/>
    <w:tmpl w:val="4BF8D6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D75619"/>
    <w:multiLevelType w:val="singleLevel"/>
    <w:tmpl w:val="B39023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D60084"/>
    <w:multiLevelType w:val="singleLevel"/>
    <w:tmpl w:val="335CA88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EE7554"/>
    <w:multiLevelType w:val="singleLevel"/>
    <w:tmpl w:val="6E24EED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487CB6"/>
    <w:multiLevelType w:val="singleLevel"/>
    <w:tmpl w:val="9B9E95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3C0BA9"/>
    <w:multiLevelType w:val="singleLevel"/>
    <w:tmpl w:val="C450C0C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4A45E2"/>
    <w:multiLevelType w:val="singleLevel"/>
    <w:tmpl w:val="D910F30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5149CF"/>
    <w:multiLevelType w:val="singleLevel"/>
    <w:tmpl w:val="0504A3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FD1BC9"/>
    <w:multiLevelType w:val="singleLevel"/>
    <w:tmpl w:val="371E0C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846344"/>
    <w:multiLevelType w:val="singleLevel"/>
    <w:tmpl w:val="3BF458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B261CF"/>
    <w:multiLevelType w:val="singleLevel"/>
    <w:tmpl w:val="5914BE7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EC4C18"/>
    <w:multiLevelType w:val="singleLevel"/>
    <w:tmpl w:val="381288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5A1892"/>
    <w:multiLevelType w:val="singleLevel"/>
    <w:tmpl w:val="C7F4744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3964E4B"/>
    <w:multiLevelType w:val="singleLevel"/>
    <w:tmpl w:val="58FAFB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A4488E"/>
    <w:multiLevelType w:val="singleLevel"/>
    <w:tmpl w:val="921A913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E643E5"/>
    <w:multiLevelType w:val="singleLevel"/>
    <w:tmpl w:val="ACD04C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BF10C5"/>
    <w:multiLevelType w:val="singleLevel"/>
    <w:tmpl w:val="C786F5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8B3389"/>
    <w:multiLevelType w:val="singleLevel"/>
    <w:tmpl w:val="050E3F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DA1ECF"/>
    <w:multiLevelType w:val="singleLevel"/>
    <w:tmpl w:val="1D10607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904CE6"/>
    <w:multiLevelType w:val="singleLevel"/>
    <w:tmpl w:val="F6B0627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A5745F"/>
    <w:multiLevelType w:val="singleLevel"/>
    <w:tmpl w:val="D460F98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B2435C"/>
    <w:multiLevelType w:val="singleLevel"/>
    <w:tmpl w:val="E0D6247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833B93"/>
    <w:multiLevelType w:val="singleLevel"/>
    <w:tmpl w:val="CBC8570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5E31D5"/>
    <w:multiLevelType w:val="singleLevel"/>
    <w:tmpl w:val="3AECD6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0695DC0"/>
    <w:multiLevelType w:val="singleLevel"/>
    <w:tmpl w:val="611278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2D2073"/>
    <w:multiLevelType w:val="singleLevel"/>
    <w:tmpl w:val="41385B7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603272"/>
    <w:multiLevelType w:val="singleLevel"/>
    <w:tmpl w:val="AB52FEE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15A631E"/>
    <w:multiLevelType w:val="singleLevel"/>
    <w:tmpl w:val="60EEF8D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4884D59"/>
    <w:multiLevelType w:val="singleLevel"/>
    <w:tmpl w:val="1AC0BB8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D03489"/>
    <w:multiLevelType w:val="singleLevel"/>
    <w:tmpl w:val="BB5AEF3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D5D36CB"/>
    <w:multiLevelType w:val="singleLevel"/>
    <w:tmpl w:val="2BC2346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F941395"/>
    <w:multiLevelType w:val="singleLevel"/>
    <w:tmpl w:val="6E24EED4"/>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23"/>
  </w:num>
  <w:num w:numId="4">
    <w:abstractNumId w:val="21"/>
  </w:num>
  <w:num w:numId="5">
    <w:abstractNumId w:val="12"/>
  </w:num>
  <w:num w:numId="6">
    <w:abstractNumId w:val="2"/>
  </w:num>
  <w:num w:numId="7">
    <w:abstractNumId w:val="30"/>
  </w:num>
  <w:num w:numId="8">
    <w:abstractNumId w:val="5"/>
  </w:num>
  <w:num w:numId="9">
    <w:abstractNumId w:val="25"/>
  </w:num>
  <w:num w:numId="10">
    <w:abstractNumId w:val="6"/>
  </w:num>
  <w:num w:numId="11">
    <w:abstractNumId w:val="28"/>
  </w:num>
  <w:num w:numId="12">
    <w:abstractNumId w:val="1"/>
  </w:num>
  <w:num w:numId="13">
    <w:abstractNumId w:val="11"/>
  </w:num>
  <w:num w:numId="14">
    <w:abstractNumId w:val="3"/>
  </w:num>
  <w:num w:numId="15">
    <w:abstractNumId w:val="16"/>
  </w:num>
  <w:num w:numId="16">
    <w:abstractNumId w:val="26"/>
  </w:num>
  <w:num w:numId="17">
    <w:abstractNumId w:val="7"/>
  </w:num>
  <w:num w:numId="18">
    <w:abstractNumId w:val="19"/>
  </w:num>
  <w:num w:numId="19">
    <w:abstractNumId w:val="20"/>
  </w:num>
  <w:num w:numId="20">
    <w:abstractNumId w:val="10"/>
  </w:num>
  <w:num w:numId="21">
    <w:abstractNumId w:val="27"/>
  </w:num>
  <w:num w:numId="22">
    <w:abstractNumId w:val="32"/>
  </w:num>
  <w:num w:numId="23">
    <w:abstractNumId w:val="9"/>
  </w:num>
  <w:num w:numId="24">
    <w:abstractNumId w:val="33"/>
  </w:num>
  <w:num w:numId="25">
    <w:abstractNumId w:val="8"/>
  </w:num>
  <w:num w:numId="26">
    <w:abstractNumId w:val="18"/>
  </w:num>
  <w:num w:numId="27">
    <w:abstractNumId w:val="29"/>
  </w:num>
  <w:num w:numId="28">
    <w:abstractNumId w:val="13"/>
  </w:num>
  <w:num w:numId="29">
    <w:abstractNumId w:val="0"/>
  </w:num>
  <w:num w:numId="30">
    <w:abstractNumId w:val="31"/>
  </w:num>
  <w:num w:numId="31">
    <w:abstractNumId w:val="22"/>
  </w:num>
  <w:num w:numId="32">
    <w:abstractNumId w:val="15"/>
  </w:num>
  <w:num w:numId="33">
    <w:abstractNumId w:val="24"/>
  </w:num>
  <w:num w:numId="34">
    <w:abstractNumId w:val="4"/>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2300"/>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A2300"/>
    <w:pPr>
      <w:spacing w:after="120"/>
    </w:pPr>
  </w:style>
  <w:style w:type="character" w:customStyle="1" w:styleId="af6">
    <w:name w:val="正文文本 字符"/>
    <w:basedOn w:val="a0"/>
    <w:link w:val="af5"/>
    <w:uiPriority w:val="99"/>
    <w:rsid w:val="00FA230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4B9E3-7F0F-49BD-BB22-CA5E37546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1087</Words>
  <Characters>6200</Characters>
  <Application>Microsoft Office Word</Application>
  <DocSecurity>0</DocSecurity>
  <Lines>51</Lines>
  <Paragraphs>14</Paragraphs>
  <ScaleCrop>false</ScaleCrop>
  <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2026-06-03T17:43:00Z</dcterms:created>
  <dcterms:modified xsi:type="dcterms:W3CDTF">2026-06-03T17:43:00Z</dcterms:modified>
</cp:coreProperties>
</file>