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20A886D2" w:rsidR="0049405C" w:rsidRPr="00C24D79" w:rsidRDefault="0017369A" w:rsidP="0017369A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17369A">
              <w:rPr>
                <w:rFonts w:ascii="等线" w:eastAsia="等线" w:hAnsi="Times New Roman"/>
                <w:b/>
                <w:color w:val="000000"/>
                <w:sz w:val="48"/>
              </w:rPr>
              <w:t>YIRU WANG</w:t>
            </w:r>
            <w:bookmarkEnd w:id="0"/>
          </w:p>
          <w:p w14:paraId="706EB16B" w14:textId="7C48E78C" w:rsidR="0049405C" w:rsidRPr="00C24D79" w:rsidRDefault="0017369A" w:rsidP="0017369A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17369A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17369A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17369A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13E7EE15" w:rsidR="0049405C" w:rsidRPr="00C24D79" w:rsidRDefault="0017369A" w:rsidP="0017369A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17369A">
              <w:rPr>
                <w:rFonts w:ascii="等线" w:eastAsia="等线" w:hAnsi="Times New Roman"/>
                <w:color w:val="000000"/>
              </w:rPr>
              <w:t xml:space="preserve">+86 21 2208 1107 </w:t>
            </w:r>
            <w:bookmarkEnd w:id="3"/>
          </w:p>
          <w:p w14:paraId="4F910ACA" w14:textId="43A557CC" w:rsidR="0049405C" w:rsidRPr="00C24D79" w:rsidRDefault="0017369A" w:rsidP="0017369A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17369A">
              <w:rPr>
                <w:rFonts w:ascii="等线" w:eastAsia="等线" w:hAnsi="Times New Roman"/>
                <w:color w:val="000000"/>
              </w:rPr>
              <w:t>yiru.wang@fangdalaw.com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440A36A6" w:rsidR="0049405C" w:rsidRPr="00C24D79" w:rsidRDefault="0017369A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56DF578C" wp14:editId="4EBC58CA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3926017B" w:rsidR="009465FB" w:rsidRPr="00C24D79" w:rsidRDefault="0017369A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17369A">
              <w:rPr>
                <w:rFonts w:ascii="等线" w:eastAsia="等线" w:hAnsi="Times New Roman"/>
                <w:color w:val="000000"/>
                <w:szCs w:val="21"/>
              </w:rPr>
              <w:t>MR. WANG SPECIALIZES IN PRIVATE EQUITY, CROSS</w:t>
            </w:r>
            <w:r w:rsidRPr="0017369A">
              <w:rPr>
                <w:rFonts w:ascii="等线" w:eastAsia="等线" w:hAnsi="Times New Roman"/>
                <w:color w:val="000000"/>
                <w:szCs w:val="21"/>
              </w:rPr>
              <w:t>‐</w:t>
            </w:r>
            <w:r w:rsidRPr="0017369A">
              <w:rPr>
                <w:rFonts w:ascii="等线" w:eastAsia="等线" w:hAnsi="Times New Roman"/>
                <w:color w:val="000000"/>
                <w:szCs w:val="21"/>
              </w:rPr>
              <w:t xml:space="preserve"> BORDER RESTRUCTURING, MERGER AND ACQUISITION.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6A437412" w14:textId="77777777" w:rsidR="0017369A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1A3BDEF9" w14:textId="77777777" w:rsidR="0017369A" w:rsidRDefault="0017369A" w:rsidP="0017369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7369A">
        <w:rPr>
          <w:rFonts w:ascii="等线" w:eastAsia="等线" w:hAnsi="等线"/>
          <w:b/>
          <w:sz w:val="24"/>
        </w:rPr>
        <w:t>REPRESENTATIVE MATTERS AND CASES</w:t>
      </w:r>
    </w:p>
    <w:p w14:paraId="33071417" w14:textId="77777777" w:rsidR="0017369A" w:rsidRDefault="0017369A" w:rsidP="0017369A">
      <w:pPr>
        <w:pStyle w:val="af5"/>
        <w:spacing w:before="120"/>
        <w:rPr>
          <w:rFonts w:ascii="等线" w:eastAsia="等线" w:hAnsi="Times New Roman"/>
          <w:color w:val="000000"/>
        </w:rPr>
      </w:pPr>
      <w:r w:rsidRPr="0017369A">
        <w:rPr>
          <w:rFonts w:ascii="等线" w:eastAsia="等线" w:hAnsi="Times New Roman"/>
          <w:color w:val="000000"/>
        </w:rPr>
        <w:t>Private Equity and Cross-Border Restructuring</w:t>
      </w:r>
    </w:p>
    <w:p w14:paraId="38AF4DD2" w14:textId="77777777" w:rsidR="0017369A" w:rsidRDefault="0017369A" w:rsidP="0017369A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7369A">
        <w:rPr>
          <w:rFonts w:ascii="等线" w:eastAsia="等线" w:hAnsi="Times New Roman"/>
          <w:color w:val="000000"/>
        </w:rPr>
        <w:t>Represented Ant Financial in its investment in Hellobike, the operator of the largest bike-sharing platform in China, and relevant cross-border restructuring of Hellobike</w:t>
      </w:r>
    </w:p>
    <w:p w14:paraId="0E27F19B" w14:textId="77777777" w:rsidR="0017369A" w:rsidRDefault="0017369A" w:rsidP="0017369A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7369A">
        <w:rPr>
          <w:rFonts w:ascii="等线" w:eastAsia="等线" w:hAnsi="Times New Roman"/>
          <w:color w:val="000000"/>
        </w:rPr>
        <w:t>Represented Ant Financial in its investment in a strategic joint venture with Hellobike and CATL</w:t>
      </w:r>
    </w:p>
    <w:p w14:paraId="4E181116" w14:textId="77777777" w:rsidR="0017369A" w:rsidRDefault="0017369A" w:rsidP="0017369A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7369A">
        <w:rPr>
          <w:rFonts w:ascii="等线" w:eastAsia="等线" w:hAnsi="Times New Roman"/>
          <w:color w:val="000000"/>
        </w:rPr>
        <w:t>Represented Warburg Pincus in the cross-border restructuring and subsequent listing on NEEQ of Kidswant, a leading maternity-infant-children specialty retailer</w:t>
      </w:r>
    </w:p>
    <w:p w14:paraId="45BFB627" w14:textId="77777777" w:rsidR="0017369A" w:rsidRDefault="0017369A" w:rsidP="0017369A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7369A">
        <w:rPr>
          <w:rFonts w:ascii="等线" w:eastAsia="等线" w:hAnsi="Times New Roman"/>
          <w:color w:val="000000"/>
        </w:rPr>
        <w:t>Represented Warburg Pincus in the cross-border restructuring and subsequent IPO of Liepin, the largest mid-senior level professional &amp; talent online platform in China</w:t>
      </w:r>
    </w:p>
    <w:p w14:paraId="70C6E441" w14:textId="77777777" w:rsidR="0017369A" w:rsidRDefault="0017369A" w:rsidP="0017369A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7369A">
        <w:rPr>
          <w:rFonts w:ascii="等线" w:eastAsia="等线" w:hAnsi="Times New Roman"/>
          <w:color w:val="000000"/>
        </w:rPr>
        <w:t>Represented Goldman Sachs in the cross-border restructuring and subsequent IPO of Ascletis Pharma, a leading biotechnology company</w:t>
      </w:r>
    </w:p>
    <w:p w14:paraId="49F38CE0" w14:textId="77777777" w:rsidR="0017369A" w:rsidRDefault="0017369A" w:rsidP="0017369A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7369A">
        <w:rPr>
          <w:rFonts w:ascii="等线" w:eastAsia="等线" w:hAnsi="Times New Roman"/>
          <w:color w:val="000000"/>
        </w:rPr>
        <w:t>Represented Alibaba in its investment in AISpeech, a leading speech technology platform</w:t>
      </w:r>
    </w:p>
    <w:p w14:paraId="231F11BE" w14:textId="77777777" w:rsidR="0017369A" w:rsidRDefault="0017369A" w:rsidP="0017369A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7369A">
        <w:rPr>
          <w:rFonts w:ascii="等线" w:eastAsia="等线" w:hAnsi="Times New Roman"/>
          <w:color w:val="000000"/>
        </w:rPr>
        <w:t>Represented Alibaba and YF Capital in its investment in Qiniu Cloud, a leading enterprise cloud service supplier</w:t>
      </w:r>
    </w:p>
    <w:p w14:paraId="42FF166B" w14:textId="77777777" w:rsidR="0017369A" w:rsidRDefault="0017369A" w:rsidP="0017369A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7369A">
        <w:rPr>
          <w:rFonts w:ascii="等线" w:eastAsia="等线" w:hAnsi="Times New Roman"/>
          <w:color w:val="000000"/>
        </w:rPr>
        <w:t>Represented YF Capital in its investment in Montage Tech, a leading provider of analog and mixed-signal semiconductor solutions</w:t>
      </w:r>
    </w:p>
    <w:p w14:paraId="64E65D6A" w14:textId="77777777" w:rsidR="0017369A" w:rsidRDefault="0017369A" w:rsidP="0017369A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7369A">
        <w:rPr>
          <w:rFonts w:ascii="等线" w:eastAsia="等线" w:hAnsi="Times New Roman"/>
          <w:color w:val="000000"/>
        </w:rPr>
        <w:t>Represented YF Capital in its investment in Leyan Tech, a leading artificial intelligence customer service provider</w:t>
      </w:r>
    </w:p>
    <w:p w14:paraId="56D9592A" w14:textId="77777777" w:rsidR="0017369A" w:rsidRDefault="0017369A" w:rsidP="0017369A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7369A">
        <w:rPr>
          <w:rFonts w:ascii="等线" w:eastAsia="等线" w:hAnsi="Times New Roman"/>
          <w:color w:val="000000"/>
        </w:rPr>
        <w:t>Represented Hillhouse in its investment in Gaodun, a leading online professional education service provider</w:t>
      </w:r>
    </w:p>
    <w:p w14:paraId="20D9C4A5" w14:textId="77777777" w:rsidR="0017369A" w:rsidRDefault="0017369A" w:rsidP="0017369A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7369A">
        <w:rPr>
          <w:rFonts w:ascii="等线" w:eastAsia="等线" w:hAnsi="Times New Roman"/>
          <w:color w:val="000000"/>
        </w:rPr>
        <w:t>Represented ANE Logstics, a leading trucking and logistics services provider, in its share structure restructuring and equity financing</w:t>
      </w:r>
    </w:p>
    <w:p w14:paraId="39B0AC1E" w14:textId="77777777" w:rsidR="0017369A" w:rsidRDefault="0017369A" w:rsidP="0017369A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7369A">
        <w:rPr>
          <w:rFonts w:ascii="等线" w:eastAsia="等线" w:hAnsi="Times New Roman"/>
          <w:color w:val="000000"/>
        </w:rPr>
        <w:t>Represented Pipilu, a leading children entertainment content and products provider, in its cross-border restructuring and equity financing</w:t>
      </w:r>
    </w:p>
    <w:p w14:paraId="4951AA04" w14:textId="77777777" w:rsidR="0017369A" w:rsidRDefault="0017369A" w:rsidP="0017369A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7369A">
        <w:rPr>
          <w:rFonts w:ascii="等线" w:eastAsia="等线" w:hAnsi="Times New Roman"/>
          <w:color w:val="000000"/>
        </w:rPr>
        <w:t>Represented MitrAssist, an Isreali medical device manufacturer, in its share structure restructuring and equity financing</w:t>
      </w:r>
    </w:p>
    <w:p w14:paraId="1CB8F21C" w14:textId="77777777" w:rsidR="0017369A" w:rsidRDefault="0017369A" w:rsidP="0017369A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7369A">
        <w:rPr>
          <w:rFonts w:ascii="等线" w:eastAsia="等线" w:hAnsi="Times New Roman"/>
          <w:color w:val="000000"/>
        </w:rPr>
        <w:t>Represented CstonePharma, a biopharma company focused on developing innovative immuno-oncology and molecularly targeted drugs, in its pre-IPO restructuring</w:t>
      </w:r>
    </w:p>
    <w:p w14:paraId="1361DF13" w14:textId="77777777" w:rsidR="0017369A" w:rsidRDefault="0017369A" w:rsidP="0017369A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7369A">
        <w:rPr>
          <w:rFonts w:ascii="等线" w:eastAsia="等线" w:hAnsi="Times New Roman"/>
          <w:color w:val="000000"/>
        </w:rPr>
        <w:t>Represented WukongZhaoFang, Panda ABC, Eddingpharm in their equity financings</w:t>
      </w:r>
    </w:p>
    <w:p w14:paraId="75FF568B" w14:textId="77777777" w:rsidR="0017369A" w:rsidRDefault="0017369A" w:rsidP="0017369A">
      <w:pPr>
        <w:pStyle w:val="af5"/>
        <w:spacing w:before="120"/>
        <w:rPr>
          <w:rFonts w:ascii="等线" w:eastAsia="等线" w:hAnsi="Times New Roman"/>
          <w:color w:val="000000"/>
        </w:rPr>
      </w:pPr>
      <w:r w:rsidRPr="0017369A">
        <w:rPr>
          <w:rFonts w:ascii="等线" w:eastAsia="等线" w:hAnsi="Times New Roman"/>
          <w:color w:val="000000"/>
        </w:rPr>
        <w:t>Merger and Acquisition</w:t>
      </w:r>
    </w:p>
    <w:p w14:paraId="1A051663" w14:textId="77777777" w:rsidR="0017369A" w:rsidRDefault="0017369A" w:rsidP="0017369A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7369A">
        <w:rPr>
          <w:rFonts w:ascii="等线" w:eastAsia="等线" w:hAnsi="Times New Roman"/>
          <w:color w:val="000000"/>
        </w:rPr>
        <w:t>Represented City Development Limited in its RMB 4.4 billion acquisition of equity in Chongqing Sincere</w:t>
      </w:r>
    </w:p>
    <w:p w14:paraId="770AA16A" w14:textId="77777777" w:rsidR="0017369A" w:rsidRDefault="0017369A" w:rsidP="0017369A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7369A">
        <w:rPr>
          <w:rFonts w:ascii="等线" w:eastAsia="等线" w:hAnsi="Times New Roman"/>
          <w:color w:val="000000"/>
        </w:rPr>
        <w:t>Represented Eddingpharm in its US$375 million acquisition of certain onshore business of Lilly</w:t>
      </w:r>
    </w:p>
    <w:p w14:paraId="6973B4B9" w14:textId="77777777" w:rsidR="0017369A" w:rsidRDefault="0017369A" w:rsidP="0017369A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7369A">
        <w:rPr>
          <w:rFonts w:ascii="等线" w:eastAsia="等线" w:hAnsi="Times New Roman"/>
          <w:color w:val="000000"/>
        </w:rPr>
        <w:t>Represented Fujian Automobile Group Limited on the RMB 690 million acquisition of 35% equity in Fujian Benz Automotive Co., Ltd. (a Sino-foreign joint venture) by BAIC Motor Corporation Limited (01958.HK)</w:t>
      </w:r>
    </w:p>
    <w:p w14:paraId="3E0ACF7F" w14:textId="77777777" w:rsidR="0017369A" w:rsidRDefault="0017369A" w:rsidP="0017369A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7369A">
        <w:rPr>
          <w:rFonts w:ascii="等线" w:eastAsia="等线" w:hAnsi="Times New Roman"/>
          <w:color w:val="000000"/>
        </w:rPr>
        <w:t>Represented Morgan Stanley on the RMB800 million acquisition of 11% equity in Hangzhou Trust by Greenland Holdings Group Corporation Limited (600606)</w:t>
      </w:r>
    </w:p>
    <w:p w14:paraId="58549FF6" w14:textId="77777777" w:rsidR="0017369A" w:rsidRDefault="0017369A" w:rsidP="0017369A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7369A">
        <w:rPr>
          <w:rFonts w:ascii="等线" w:eastAsia="等线" w:hAnsi="Times New Roman"/>
          <w:color w:val="000000"/>
        </w:rPr>
        <w:t>Represented Warburg Pincus in its acquisition of equity in a company engaged in education business</w:t>
      </w:r>
    </w:p>
    <w:p w14:paraId="62512475" w14:textId="77777777" w:rsidR="0017369A" w:rsidRDefault="0017369A" w:rsidP="0017369A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7369A">
        <w:rPr>
          <w:rFonts w:ascii="等线" w:eastAsia="等线" w:hAnsi="Times New Roman"/>
          <w:color w:val="000000"/>
        </w:rPr>
        <w:t>Represented Vastec Medical Limited on the US$60 million takeover by Shinva Medical Instrument Co., Ltd. (600587)</w:t>
      </w:r>
    </w:p>
    <w:p w14:paraId="398C643E" w14:textId="77777777" w:rsidR="0017369A" w:rsidRDefault="0017369A" w:rsidP="0017369A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7369A">
        <w:rPr>
          <w:rFonts w:ascii="等线" w:eastAsia="等线" w:hAnsi="Times New Roman"/>
          <w:color w:val="000000"/>
        </w:rPr>
        <w:t>Represented Suzhou Anjie Technology Co., Ltd. (002635) on its US$145 million takeover of Supernova Holdings (Singapore) Pte. Ltd.</w:t>
      </w:r>
    </w:p>
    <w:p w14:paraId="2D1D67C5" w14:textId="77777777" w:rsidR="0017369A" w:rsidRDefault="0017369A" w:rsidP="0017369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7369A">
        <w:rPr>
          <w:rFonts w:ascii="等线" w:eastAsia="等线" w:hAnsi="等线"/>
          <w:b/>
          <w:sz w:val="24"/>
        </w:rPr>
        <w:t>Education</w:t>
      </w:r>
    </w:p>
    <w:p w14:paraId="36E6F9C9" w14:textId="77777777" w:rsidR="0017369A" w:rsidRDefault="0017369A" w:rsidP="0017369A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7369A">
        <w:rPr>
          <w:rFonts w:ascii="等线" w:eastAsia="等线" w:hAnsi="Times New Roman"/>
          <w:color w:val="000000"/>
        </w:rPr>
        <w:t>New York University, School of Law, LLM</w:t>
      </w:r>
    </w:p>
    <w:p w14:paraId="056CB008" w14:textId="77777777" w:rsidR="0017369A" w:rsidRDefault="0017369A" w:rsidP="0017369A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7369A">
        <w:rPr>
          <w:rFonts w:ascii="等线" w:eastAsia="等线" w:hAnsi="Times New Roman"/>
          <w:color w:val="000000"/>
        </w:rPr>
        <w:t>East China University of Political Science and Law, LLB</w:t>
      </w:r>
    </w:p>
    <w:p w14:paraId="680A4FF4" w14:textId="77777777" w:rsidR="0017369A" w:rsidRDefault="0017369A" w:rsidP="0017369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7369A">
        <w:rPr>
          <w:rFonts w:ascii="等线" w:eastAsia="等线" w:hAnsi="等线"/>
          <w:b/>
          <w:sz w:val="24"/>
        </w:rPr>
        <w:t>Professional Qualification</w:t>
      </w:r>
    </w:p>
    <w:p w14:paraId="5B4B7489" w14:textId="77777777" w:rsidR="0017369A" w:rsidRDefault="0017369A" w:rsidP="0017369A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7369A">
        <w:rPr>
          <w:rFonts w:ascii="等线" w:eastAsia="等线" w:hAnsi="Times New Roman"/>
          <w:color w:val="000000"/>
        </w:rPr>
        <w:t>Admitted to practice in the PRC</w:t>
      </w:r>
    </w:p>
    <w:p w14:paraId="041B6DDC" w14:textId="77777777" w:rsidR="0017369A" w:rsidRDefault="0017369A" w:rsidP="0017369A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7369A">
        <w:rPr>
          <w:rFonts w:ascii="等线" w:eastAsia="等线" w:hAnsi="Times New Roman"/>
          <w:color w:val="000000"/>
        </w:rPr>
        <w:t>Admitted to practice in New York</w:t>
      </w:r>
    </w:p>
    <w:p w14:paraId="705B40F3" w14:textId="77777777" w:rsidR="0017369A" w:rsidRDefault="0017369A" w:rsidP="0017369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7369A">
        <w:rPr>
          <w:rFonts w:ascii="等线" w:eastAsia="等线" w:hAnsi="等线"/>
          <w:b/>
          <w:sz w:val="24"/>
        </w:rPr>
        <w:t>Professional Background</w:t>
      </w:r>
    </w:p>
    <w:p w14:paraId="5567FC3C" w14:textId="77D796B2" w:rsidR="00686369" w:rsidRPr="0017369A" w:rsidRDefault="0017369A" w:rsidP="0017369A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7369A">
        <w:rPr>
          <w:rFonts w:ascii="等线" w:eastAsia="等线" w:hAnsi="Times New Roman"/>
          <w:color w:val="000000"/>
        </w:rPr>
        <w:t>Mr. Wang joined Fangda Partners in 2015. Prior to joining Fangda Partners, he worked with a leading Chinese domestic law firm.</w:t>
      </w:r>
    </w:p>
    <w:sectPr w:rsidR="00686369" w:rsidRPr="0017369A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30CA7"/>
    <w:multiLevelType w:val="singleLevel"/>
    <w:tmpl w:val="82A0CB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283013B"/>
    <w:multiLevelType w:val="singleLevel"/>
    <w:tmpl w:val="B36230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7405362"/>
    <w:multiLevelType w:val="singleLevel"/>
    <w:tmpl w:val="2580F2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0164CD0"/>
    <w:multiLevelType w:val="singleLevel"/>
    <w:tmpl w:val="4E963D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FC27E37"/>
    <w:multiLevelType w:val="singleLevel"/>
    <w:tmpl w:val="6AAA8A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70F28FA"/>
    <w:multiLevelType w:val="singleLevel"/>
    <w:tmpl w:val="E084B2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7" w15:restartNumberingAfterBreak="0">
    <w:nsid w:val="2F870402"/>
    <w:multiLevelType w:val="singleLevel"/>
    <w:tmpl w:val="D6C01B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FC13E7B"/>
    <w:multiLevelType w:val="singleLevel"/>
    <w:tmpl w:val="387EC3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1750E66"/>
    <w:multiLevelType w:val="singleLevel"/>
    <w:tmpl w:val="DC4626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2A52371"/>
    <w:multiLevelType w:val="singleLevel"/>
    <w:tmpl w:val="34FC17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37720B2"/>
    <w:multiLevelType w:val="singleLevel"/>
    <w:tmpl w:val="977014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42B194B"/>
    <w:multiLevelType w:val="singleLevel"/>
    <w:tmpl w:val="49940E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B0A2460"/>
    <w:multiLevelType w:val="singleLevel"/>
    <w:tmpl w:val="A3F466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5" w15:restartNumberingAfterBreak="0">
    <w:nsid w:val="3BA560C5"/>
    <w:multiLevelType w:val="singleLevel"/>
    <w:tmpl w:val="AC2A4E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200308A"/>
    <w:multiLevelType w:val="singleLevel"/>
    <w:tmpl w:val="435EE4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271252B"/>
    <w:multiLevelType w:val="singleLevel"/>
    <w:tmpl w:val="596E67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4D260D5"/>
    <w:multiLevelType w:val="singleLevel"/>
    <w:tmpl w:val="49780E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6876BF9"/>
    <w:multiLevelType w:val="singleLevel"/>
    <w:tmpl w:val="1D5258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A0D1976"/>
    <w:multiLevelType w:val="singleLevel"/>
    <w:tmpl w:val="2BEEB5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4DCE0C86"/>
    <w:multiLevelType w:val="singleLevel"/>
    <w:tmpl w:val="9968A3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58F5F5B"/>
    <w:multiLevelType w:val="singleLevel"/>
    <w:tmpl w:val="A87AF8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70E963CE"/>
    <w:multiLevelType w:val="singleLevel"/>
    <w:tmpl w:val="9D4E64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728A6A8C"/>
    <w:multiLevelType w:val="singleLevel"/>
    <w:tmpl w:val="A04874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37F2743"/>
    <w:multiLevelType w:val="singleLevel"/>
    <w:tmpl w:val="5EE855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69A309B"/>
    <w:multiLevelType w:val="singleLevel"/>
    <w:tmpl w:val="B428E4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9335E5D"/>
    <w:multiLevelType w:val="singleLevel"/>
    <w:tmpl w:val="7714D1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798A6D91"/>
    <w:multiLevelType w:val="singleLevel"/>
    <w:tmpl w:val="49780E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7CB1757E"/>
    <w:multiLevelType w:val="singleLevel"/>
    <w:tmpl w:val="0A62B5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6"/>
  </w:num>
  <w:num w:numId="2">
    <w:abstractNumId w:val="14"/>
  </w:num>
  <w:num w:numId="3">
    <w:abstractNumId w:val="3"/>
  </w:num>
  <w:num w:numId="4">
    <w:abstractNumId w:val="9"/>
  </w:num>
  <w:num w:numId="5">
    <w:abstractNumId w:val="4"/>
  </w:num>
  <w:num w:numId="6">
    <w:abstractNumId w:val="10"/>
  </w:num>
  <w:num w:numId="7">
    <w:abstractNumId w:val="21"/>
  </w:num>
  <w:num w:numId="8">
    <w:abstractNumId w:val="24"/>
  </w:num>
  <w:num w:numId="9">
    <w:abstractNumId w:val="25"/>
  </w:num>
  <w:num w:numId="10">
    <w:abstractNumId w:val="11"/>
  </w:num>
  <w:num w:numId="11">
    <w:abstractNumId w:val="20"/>
  </w:num>
  <w:num w:numId="12">
    <w:abstractNumId w:val="7"/>
  </w:num>
  <w:num w:numId="13">
    <w:abstractNumId w:val="26"/>
  </w:num>
  <w:num w:numId="14">
    <w:abstractNumId w:val="15"/>
  </w:num>
  <w:num w:numId="15">
    <w:abstractNumId w:val="19"/>
  </w:num>
  <w:num w:numId="16">
    <w:abstractNumId w:val="16"/>
  </w:num>
  <w:num w:numId="17">
    <w:abstractNumId w:val="8"/>
  </w:num>
  <w:num w:numId="18">
    <w:abstractNumId w:val="23"/>
  </w:num>
  <w:num w:numId="19">
    <w:abstractNumId w:val="12"/>
  </w:num>
  <w:num w:numId="20">
    <w:abstractNumId w:val="17"/>
  </w:num>
  <w:num w:numId="21">
    <w:abstractNumId w:val="29"/>
  </w:num>
  <w:num w:numId="22">
    <w:abstractNumId w:val="13"/>
  </w:num>
  <w:num w:numId="23">
    <w:abstractNumId w:val="22"/>
  </w:num>
  <w:num w:numId="24">
    <w:abstractNumId w:val="5"/>
  </w:num>
  <w:num w:numId="25">
    <w:abstractNumId w:val="27"/>
  </w:num>
  <w:num w:numId="26">
    <w:abstractNumId w:val="0"/>
  </w:num>
  <w:num w:numId="27">
    <w:abstractNumId w:val="2"/>
  </w:num>
  <w:num w:numId="28">
    <w:abstractNumId w:val="1"/>
  </w:num>
  <w:num w:numId="29">
    <w:abstractNumId w:val="18"/>
  </w:num>
  <w:num w:numId="3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7369A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17369A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17369A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789636A-183D-4E28-A8A4-FD3F417C51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514</Words>
  <Characters>2930</Characters>
  <Application>Microsoft Office Word</Application>
  <DocSecurity>0</DocSecurity>
  <Lines>24</Lines>
  <Paragraphs>6</Paragraphs>
  <ScaleCrop>false</ScaleCrop>
  <Company/>
  <LinksUpToDate>false</LinksUpToDate>
  <CharactersWithSpaces>3438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2026-09-14T00:40:00Z</dcterms:created>
  <dcterms:modified xsi:type="dcterms:W3CDTF">2026-09-14T00:40:00Z</dcterms:modified>
</cp:coreProperties>
</file>