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679999E" w:rsidR="0049405C" w:rsidRPr="00C24D79" w:rsidRDefault="00DE77D3" w:rsidP="00DE77D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E77D3">
              <w:rPr>
                <w:rFonts w:ascii="等线" w:eastAsia="等线" w:hAnsi="Times New Roman"/>
                <w:b/>
                <w:color w:val="000000"/>
                <w:sz w:val="48"/>
              </w:rPr>
              <w:t>YUE ZHANG</w:t>
            </w:r>
            <w:bookmarkEnd w:id="0"/>
          </w:p>
          <w:p w14:paraId="706EB16B" w14:textId="22070610" w:rsidR="0049405C" w:rsidRPr="00C24D79" w:rsidRDefault="00DE77D3" w:rsidP="00DE77D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E77D3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DE77D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E77D3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0280481E" w:rsidR="0049405C" w:rsidRPr="00C24D79" w:rsidRDefault="00DE77D3" w:rsidP="00DE77D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E77D3">
              <w:rPr>
                <w:rFonts w:ascii="等线" w:eastAsia="等线" w:hAnsi="Times New Roman"/>
                <w:color w:val="000000"/>
              </w:rPr>
              <w:t xml:space="preserve">+852 9652 6124 / +86 19896512186 </w:t>
            </w:r>
            <w:bookmarkEnd w:id="3"/>
          </w:p>
          <w:p w14:paraId="4F910ACA" w14:textId="0E5B5223" w:rsidR="0049405C" w:rsidRPr="00C24D79" w:rsidRDefault="00DE77D3" w:rsidP="00DE77D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E77D3">
              <w:rPr>
                <w:rFonts w:ascii="等线" w:eastAsia="等线" w:hAnsi="Times New Roman"/>
                <w:color w:val="000000"/>
              </w:rPr>
              <w:t>yue.zhang@fangdalaw.com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2590179" w:rsidR="0049405C" w:rsidRPr="00C24D79" w:rsidRDefault="00DE77D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B9A28FD" wp14:editId="1A5091A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06AB4C6" w:rsidR="009465FB" w:rsidRPr="00C24D79" w:rsidRDefault="00DE77D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E77D3">
              <w:rPr>
                <w:rFonts w:ascii="等线" w:eastAsia="等线" w:hAnsi="Times New Roman"/>
                <w:color w:val="000000"/>
                <w:szCs w:val="21"/>
              </w:rPr>
              <w:t>MR. ZHANG SPECIALIZES IN PRIVATE EQUITY AND INVESTMENT MANAGEMENT, FOCUSING ON USD- DENOMINATED FUND FORMATION AND REGULATORY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07009B5" w14:textId="77777777" w:rsidR="00DE77D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17BE46B" w14:textId="77777777" w:rsidR="00DE77D3" w:rsidRDefault="00DE77D3" w:rsidP="00DE77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E77D3">
        <w:rPr>
          <w:rFonts w:ascii="等线" w:eastAsia="等线" w:hAnsi="等线"/>
          <w:b/>
          <w:sz w:val="24"/>
        </w:rPr>
        <w:t>REPRESENTATIVE MATTERS AND CASES</w:t>
      </w:r>
    </w:p>
    <w:p w14:paraId="3FD1C186" w14:textId="77777777" w:rsidR="00DE77D3" w:rsidRDefault="00DE77D3" w:rsidP="00DE77D3">
      <w:pPr>
        <w:pStyle w:val="af5"/>
        <w:spacing w:before="12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GP Representations</w:t>
      </w:r>
    </w:p>
    <w:p w14:paraId="170B8F94" w14:textId="77777777" w:rsidR="00DE77D3" w:rsidRDefault="00DE77D3" w:rsidP="00DE77D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Acted for CICC Capital and TPG in connection with the establishment of the China Synergy Platform as a USD/RMB dual-currency structure to target investment opportunities both in China and overseas</w:t>
      </w:r>
    </w:p>
    <w:p w14:paraId="67E783CD" w14:textId="77777777" w:rsidR="00DE77D3" w:rsidRDefault="00DE77D3" w:rsidP="00DE77D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Legend Capital in the formation of an investment fund</w:t>
      </w:r>
    </w:p>
    <w:p w14:paraId="582D2E18" w14:textId="77777777" w:rsidR="00DE77D3" w:rsidRDefault="00DE77D3" w:rsidP="00DE77D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Blackstone in the formation of a series of separately managed accounts and commingled funds as part of its opportunistic investing platform with over $15 billion commitments</w:t>
      </w:r>
    </w:p>
    <w:p w14:paraId="31741B78" w14:textId="77777777" w:rsidR="00DE77D3" w:rsidRDefault="00DE77D3" w:rsidP="00DE77D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Carlyle in the formation of a managed account focused on investments in power assets</w:t>
      </w:r>
    </w:p>
    <w:p w14:paraId="3D286F47" w14:textId="77777777" w:rsidR="00DE77D3" w:rsidRDefault="00DE77D3" w:rsidP="00DE77D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Ocean Link in the formation of an investment fund focusing on investments in travel and leisure industries</w:t>
      </w:r>
    </w:p>
    <w:p w14:paraId="07B2E1C3" w14:textId="77777777" w:rsidR="00DE77D3" w:rsidRDefault="00DE77D3" w:rsidP="00DE77D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Eastern Bell Venture Capital in the formation of an investment fund focusing on investments in logistics and supply chain sectors</w:t>
      </w:r>
    </w:p>
    <w:p w14:paraId="6CD0EA1D" w14:textId="77777777" w:rsidR="00DE77D3" w:rsidRDefault="00DE77D3" w:rsidP="00DE77D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Jeneration Capital in the formation of an investment fund focusing on investments in technology and technology-enabled companies</w:t>
      </w:r>
    </w:p>
    <w:p w14:paraId="7CB36852" w14:textId="77777777" w:rsidR="00DE77D3" w:rsidRDefault="00DE77D3" w:rsidP="00DE77D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Bioventure in the formation of an investment fund focusing on investments in early/growth stage start-ups in life-science and healthcare industries</w:t>
      </w:r>
    </w:p>
    <w:p w14:paraId="48C1B08B" w14:textId="77777777" w:rsidR="00DE77D3" w:rsidRDefault="00DE77D3" w:rsidP="00DE77D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MSA Capital in the formation of an investment fund focusing on investments in TMT, artificial-intelligence, technology and healthcare industries</w:t>
      </w:r>
    </w:p>
    <w:p w14:paraId="7075F49B" w14:textId="77777777" w:rsidR="00DE77D3" w:rsidRDefault="00DE77D3" w:rsidP="00DE77D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Blackstone in the formation of a number of commingled drawdown funds and separately managed accounts totaling over $10 billion investing in real estate related debt products</w:t>
      </w:r>
    </w:p>
    <w:p w14:paraId="2C5DD3CD" w14:textId="77777777" w:rsidR="00DE77D3" w:rsidRDefault="00DE77D3" w:rsidP="00DE77D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First Reserve, a U.S. private equity fund sponsor, in the formation of a $2.5 billion global energy and infrastructure fund</w:t>
      </w:r>
    </w:p>
    <w:p w14:paraId="55F838CF" w14:textId="77777777" w:rsidR="00DE77D3" w:rsidRDefault="00DE77D3" w:rsidP="00DE77D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A&amp;M Capital, a U.S. private equity fund sponsor associated with Alvarez &amp; Marsal, a global professional services firm, in the formation of its first buyouts fund, which raised $600 million and invests in middle market buyouts in North America and its second buyouts fund principally investing in growth- oriented businesses</w:t>
      </w:r>
    </w:p>
    <w:p w14:paraId="5007917D" w14:textId="77777777" w:rsidR="00DE77D3" w:rsidRDefault="00DE77D3" w:rsidP="00DE77D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New Mountain Capital in the formation of its fourth private equity fund with $4 billion commitments</w:t>
      </w:r>
    </w:p>
    <w:p w14:paraId="12CF7622" w14:textId="77777777" w:rsidR="00DE77D3" w:rsidRDefault="00DE77D3" w:rsidP="00DE77D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Corsair Capital in connection with the formation of its fourth financial services-focused fund with over $775 million commitments</w:t>
      </w:r>
    </w:p>
    <w:p w14:paraId="0E3B5EE1" w14:textId="77777777" w:rsidR="00DE77D3" w:rsidRDefault="00DE77D3" w:rsidP="00DE77D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Blackstone in connection with the formation of managed accounts and fundraising of two hedge funds investing in CMBS</w:t>
      </w:r>
    </w:p>
    <w:p w14:paraId="3ED22B8C" w14:textId="77777777" w:rsidR="00DE77D3" w:rsidRDefault="00DE77D3" w:rsidP="00DE77D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Aquiline Capital in connection with the formation of its second financial services-focused fund with over $740 million commitments</w:t>
      </w:r>
    </w:p>
    <w:p w14:paraId="3A90A674" w14:textId="77777777" w:rsidR="00DE77D3" w:rsidRDefault="00DE77D3" w:rsidP="00DE77D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Blackstone Property Partners in the formation of a number of co- investment vehicles and supplemental capital vehicles in connection with investments in core-plus real estate assets</w:t>
      </w:r>
    </w:p>
    <w:p w14:paraId="40A123B4" w14:textId="77777777" w:rsidR="00DE77D3" w:rsidRDefault="00DE77D3" w:rsidP="00DE77D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Other GP sponsor clients include HOPU Investments, IDG Capital, Macquarie, Morgan Stanley, etc</w:t>
      </w:r>
    </w:p>
    <w:p w14:paraId="52D8E0C1" w14:textId="77777777" w:rsidR="00DE77D3" w:rsidRDefault="00DE77D3" w:rsidP="00DE77D3">
      <w:pPr>
        <w:pStyle w:val="af5"/>
        <w:spacing w:before="12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LP Representations</w:t>
      </w:r>
    </w:p>
    <w:p w14:paraId="4DB51891" w14:textId="77777777" w:rsidR="00DE77D3" w:rsidRDefault="00DE77D3" w:rsidP="00DE77D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CPPIB in its investments in number of private equity and venture capital funds</w:t>
      </w:r>
    </w:p>
    <w:p w14:paraId="36B2176E" w14:textId="77777777" w:rsidR="00DE77D3" w:rsidRDefault="00DE77D3" w:rsidP="00DE77D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Acted for China Taiping in connection with its proposed investment in a private equity fund</w:t>
      </w:r>
    </w:p>
    <w:p w14:paraId="28C25386" w14:textId="77777777" w:rsidR="00DE77D3" w:rsidRDefault="00DE77D3" w:rsidP="00DE77D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Hong Kong Monetary Authority in its investments in number of private equity and real estate funds</w:t>
      </w:r>
    </w:p>
    <w:p w14:paraId="20783E18" w14:textId="77777777" w:rsidR="00DE77D3" w:rsidRDefault="00DE77D3" w:rsidP="00DE77D3">
      <w:pPr>
        <w:pStyle w:val="af5"/>
        <w:spacing w:before="12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M&amp;A  and Other Transactions</w:t>
      </w:r>
    </w:p>
    <w:p w14:paraId="68226F68" w14:textId="77777777" w:rsidR="00DE77D3" w:rsidRDefault="00DE77D3" w:rsidP="00DE77D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Ligang Zhang, founder, chairman and chief executive officer of iKang Healthcare Group, Inc. (Nasdaq: KANG) (</w:t>
      </w:r>
      <w:r w:rsidRPr="00DE77D3">
        <w:rPr>
          <w:rFonts w:ascii="等线" w:eastAsia="等线" w:hAnsi="Times New Roman"/>
          <w:color w:val="000000"/>
        </w:rPr>
        <w:t>“</w:t>
      </w:r>
      <w:r w:rsidRPr="00DE77D3">
        <w:rPr>
          <w:rFonts w:ascii="等线" w:eastAsia="等线" w:hAnsi="Times New Roman"/>
          <w:color w:val="000000"/>
        </w:rPr>
        <w:t>iKang</w:t>
      </w:r>
      <w:r w:rsidRPr="00DE77D3">
        <w:rPr>
          <w:rFonts w:ascii="等线" w:eastAsia="等线" w:hAnsi="Times New Roman"/>
          <w:color w:val="000000"/>
        </w:rPr>
        <w:t>”</w:t>
      </w:r>
      <w:r w:rsidRPr="00DE77D3">
        <w:rPr>
          <w:rFonts w:ascii="等线" w:eastAsia="等线" w:hAnsi="Times New Roman"/>
          <w:color w:val="000000"/>
        </w:rPr>
        <w:t>), as a member of the buyer consortium in the US$1.5 billion going private transaction of iKang. Other members of the buyer consortium included affiliates of Yunfeng Capital, Alibaba Group Holding Limited and Boyu Capital</w:t>
      </w:r>
    </w:p>
    <w:p w14:paraId="23AB0750" w14:textId="77777777" w:rsidR="00DE77D3" w:rsidRDefault="00DE77D3" w:rsidP="00DE77D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CBRE in acquiring real estate investment management business in Europe and Asia from ING</w:t>
      </w:r>
    </w:p>
    <w:p w14:paraId="70F0E2C5" w14:textId="77777777" w:rsidR="00DE77D3" w:rsidRDefault="00DE77D3" w:rsidP="00DE77D3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Blackstone in connection with acquisition of assets of GE Capital Real Estate in a transaction valued at approximately $23 billion</w:t>
      </w:r>
    </w:p>
    <w:p w14:paraId="131A53C5" w14:textId="77777777" w:rsidR="00DE77D3" w:rsidRDefault="00DE77D3" w:rsidP="00DE77D3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New Mountain Capital in its $1.3 billion recapitalization of AmWINS</w:t>
      </w:r>
    </w:p>
    <w:p w14:paraId="09194A3B" w14:textId="77777777" w:rsidR="00DE77D3" w:rsidRDefault="00DE77D3" w:rsidP="00DE77D3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Corsair Capital as a member of the buyer consortium along with funds sponsored by Blackstone in their majority investment in First Eagle Investment Management reflecting a total enterprise value of approximately $4 billion</w:t>
      </w:r>
    </w:p>
    <w:p w14:paraId="5D367DC7" w14:textId="77777777" w:rsidR="00DE77D3" w:rsidRDefault="00DE77D3" w:rsidP="00DE77D3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New Mountain Capital in the syndication of co-investment in JDA Software</w:t>
      </w:r>
    </w:p>
    <w:p w14:paraId="02B79207" w14:textId="77777777" w:rsidR="00DE77D3" w:rsidRDefault="00DE77D3" w:rsidP="00DE77D3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Corsair Capital in acquiring management rights from Citigroup with respect to its global infrastructure investment fund</w:t>
      </w:r>
    </w:p>
    <w:p w14:paraId="575072CF" w14:textId="77777777" w:rsidR="00DE77D3" w:rsidRDefault="00DE77D3" w:rsidP="00DE77D3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Represented Blackstone Mortgage Trust, Inc. (NYSE: BXMT) in connection with its public offerings of 11.5 million shares of class A common stock</w:t>
      </w:r>
    </w:p>
    <w:p w14:paraId="2B896324" w14:textId="77777777" w:rsidR="00DE77D3" w:rsidRDefault="00DE77D3" w:rsidP="00DE77D3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Acted for Lightyear Capital on ongoing fund operation and investment activities</w:t>
      </w:r>
    </w:p>
    <w:p w14:paraId="544FCECA" w14:textId="77777777" w:rsidR="00DE77D3" w:rsidRDefault="00DE77D3" w:rsidP="00DE77D3">
      <w:pPr>
        <w:pStyle w:val="af5"/>
        <w:spacing w:before="12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* Include matters completed prior to joining Fangda</w:t>
      </w:r>
    </w:p>
    <w:p w14:paraId="3FAEF99C" w14:textId="77777777" w:rsidR="00DE77D3" w:rsidRDefault="00DE77D3" w:rsidP="00DE77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E77D3">
        <w:rPr>
          <w:rFonts w:ascii="等线" w:eastAsia="等线" w:hAnsi="等线"/>
          <w:b/>
          <w:sz w:val="24"/>
        </w:rPr>
        <w:t>Education</w:t>
      </w:r>
    </w:p>
    <w:p w14:paraId="6B847AAC" w14:textId="77777777" w:rsidR="00DE77D3" w:rsidRDefault="00DE77D3" w:rsidP="00DE77D3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Peking University, School of Economics, B.A. in Economics</w:t>
      </w:r>
    </w:p>
    <w:p w14:paraId="5DD770D1" w14:textId="77777777" w:rsidR="00DE77D3" w:rsidRDefault="00DE77D3" w:rsidP="00DE77D3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University of Pennsylvania, M.A. in Economics</w:t>
      </w:r>
    </w:p>
    <w:p w14:paraId="5881C293" w14:textId="77777777" w:rsidR="00DE77D3" w:rsidRDefault="00DE77D3" w:rsidP="00DE77D3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Georgetown University Law Center, Juris Doctor</w:t>
      </w:r>
    </w:p>
    <w:p w14:paraId="4AB4913D" w14:textId="77777777" w:rsidR="00DE77D3" w:rsidRDefault="00DE77D3" w:rsidP="00DE77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E77D3">
        <w:rPr>
          <w:rFonts w:ascii="等线" w:eastAsia="等线" w:hAnsi="等线"/>
          <w:b/>
          <w:sz w:val="24"/>
        </w:rPr>
        <w:t>Professional Qualification</w:t>
      </w:r>
    </w:p>
    <w:p w14:paraId="74BEAF81" w14:textId="77777777" w:rsidR="00DE77D3" w:rsidRDefault="00DE77D3" w:rsidP="00DE77D3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Admitted to practice in New York</w:t>
      </w:r>
    </w:p>
    <w:p w14:paraId="44F52DAC" w14:textId="77777777" w:rsidR="00DE77D3" w:rsidRDefault="00DE77D3" w:rsidP="00DE77D3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Registered Foreign Lawyer in Hong Kong SAR</w:t>
      </w:r>
    </w:p>
    <w:p w14:paraId="4DBE1AB3" w14:textId="77777777" w:rsidR="00DE77D3" w:rsidRDefault="00DE77D3" w:rsidP="00DE77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E77D3">
        <w:rPr>
          <w:rFonts w:ascii="等线" w:eastAsia="等线" w:hAnsi="等线"/>
          <w:b/>
          <w:sz w:val="24"/>
        </w:rPr>
        <w:t>Professional Background</w:t>
      </w:r>
    </w:p>
    <w:p w14:paraId="5567FC3C" w14:textId="11131115" w:rsidR="00686369" w:rsidRPr="00DE77D3" w:rsidRDefault="00DE77D3" w:rsidP="00DE77D3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E77D3">
        <w:rPr>
          <w:rFonts w:ascii="等线" w:eastAsia="等线" w:hAnsi="Times New Roman"/>
          <w:color w:val="000000"/>
        </w:rPr>
        <w:t>Prior to joining Fangda Partnes, Mr. Zhang was a partner of Kirkland &amp; Ellis in its Hong Kong office. He also worked at Simpson Thacher &amp; Bartlett</w:t>
      </w:r>
      <w:r w:rsidRPr="00DE77D3">
        <w:rPr>
          <w:rFonts w:ascii="等线" w:eastAsia="等线" w:hAnsi="Times New Roman"/>
          <w:color w:val="000000"/>
        </w:rPr>
        <w:t>’</w:t>
      </w:r>
      <w:r w:rsidRPr="00DE77D3">
        <w:rPr>
          <w:rFonts w:ascii="等线" w:eastAsia="等线" w:hAnsi="Times New Roman"/>
          <w:color w:val="000000"/>
        </w:rPr>
        <w:t>s New York office for over six years prior to returning to Asia.</w:t>
      </w:r>
    </w:p>
    <w:sectPr w:rsidR="00686369" w:rsidRPr="00DE77D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666A"/>
    <w:multiLevelType w:val="singleLevel"/>
    <w:tmpl w:val="998046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9801EB"/>
    <w:multiLevelType w:val="singleLevel"/>
    <w:tmpl w:val="73CCF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DC3F48"/>
    <w:multiLevelType w:val="singleLevel"/>
    <w:tmpl w:val="16F07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9B647F"/>
    <w:multiLevelType w:val="singleLevel"/>
    <w:tmpl w:val="EE1E7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663B3B"/>
    <w:multiLevelType w:val="singleLevel"/>
    <w:tmpl w:val="8C3C4F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CA1980"/>
    <w:multiLevelType w:val="singleLevel"/>
    <w:tmpl w:val="4704E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E44D0C"/>
    <w:multiLevelType w:val="singleLevel"/>
    <w:tmpl w:val="6BBA4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AB3B26"/>
    <w:multiLevelType w:val="singleLevel"/>
    <w:tmpl w:val="E82A1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6B5A77"/>
    <w:multiLevelType w:val="singleLevel"/>
    <w:tmpl w:val="FE7EC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C2F7144"/>
    <w:multiLevelType w:val="singleLevel"/>
    <w:tmpl w:val="B56A4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1838BE"/>
    <w:multiLevelType w:val="singleLevel"/>
    <w:tmpl w:val="B2C25E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243060"/>
    <w:multiLevelType w:val="singleLevel"/>
    <w:tmpl w:val="85BABA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1F2537E"/>
    <w:multiLevelType w:val="singleLevel"/>
    <w:tmpl w:val="FF3AD7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1FF4267"/>
    <w:multiLevelType w:val="singleLevel"/>
    <w:tmpl w:val="2214BF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7C7570"/>
    <w:multiLevelType w:val="singleLevel"/>
    <w:tmpl w:val="C772F9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F67019F"/>
    <w:multiLevelType w:val="singleLevel"/>
    <w:tmpl w:val="3FF87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14F3550"/>
    <w:multiLevelType w:val="singleLevel"/>
    <w:tmpl w:val="4704E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25F71A7"/>
    <w:multiLevelType w:val="singleLevel"/>
    <w:tmpl w:val="32AE9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59649C0"/>
    <w:multiLevelType w:val="singleLevel"/>
    <w:tmpl w:val="850A4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CD76CB"/>
    <w:multiLevelType w:val="singleLevel"/>
    <w:tmpl w:val="24AEA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7415DA9"/>
    <w:multiLevelType w:val="singleLevel"/>
    <w:tmpl w:val="EE605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7D752AB"/>
    <w:multiLevelType w:val="singleLevel"/>
    <w:tmpl w:val="7DCC7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CF4773F"/>
    <w:multiLevelType w:val="singleLevel"/>
    <w:tmpl w:val="D6367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23B6289"/>
    <w:multiLevelType w:val="singleLevel"/>
    <w:tmpl w:val="83E2DD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C2247DA"/>
    <w:multiLevelType w:val="singleLevel"/>
    <w:tmpl w:val="04E8A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241230D"/>
    <w:multiLevelType w:val="singleLevel"/>
    <w:tmpl w:val="D15894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5611727"/>
    <w:multiLevelType w:val="singleLevel"/>
    <w:tmpl w:val="3CF4C6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8E90BC3"/>
    <w:multiLevelType w:val="singleLevel"/>
    <w:tmpl w:val="4C26DE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B0D201E"/>
    <w:multiLevelType w:val="singleLevel"/>
    <w:tmpl w:val="5B22AF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B4D4676"/>
    <w:multiLevelType w:val="singleLevel"/>
    <w:tmpl w:val="565EC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E492FD5"/>
    <w:multiLevelType w:val="singleLevel"/>
    <w:tmpl w:val="1BB076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1632E3E"/>
    <w:multiLevelType w:val="singleLevel"/>
    <w:tmpl w:val="0E0087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1A769BC"/>
    <w:multiLevelType w:val="singleLevel"/>
    <w:tmpl w:val="9A08A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1D244F2"/>
    <w:multiLevelType w:val="singleLevel"/>
    <w:tmpl w:val="652255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3363324"/>
    <w:multiLevelType w:val="singleLevel"/>
    <w:tmpl w:val="EAD0E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4485245"/>
    <w:multiLevelType w:val="singleLevel"/>
    <w:tmpl w:val="6262D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BB10723"/>
    <w:multiLevelType w:val="singleLevel"/>
    <w:tmpl w:val="CCECFA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24"/>
  </w:num>
  <w:num w:numId="4">
    <w:abstractNumId w:val="3"/>
  </w:num>
  <w:num w:numId="5">
    <w:abstractNumId w:val="37"/>
  </w:num>
  <w:num w:numId="6">
    <w:abstractNumId w:val="0"/>
  </w:num>
  <w:num w:numId="7">
    <w:abstractNumId w:val="1"/>
  </w:num>
  <w:num w:numId="8">
    <w:abstractNumId w:val="28"/>
  </w:num>
  <w:num w:numId="9">
    <w:abstractNumId w:val="30"/>
  </w:num>
  <w:num w:numId="10">
    <w:abstractNumId w:val="25"/>
  </w:num>
  <w:num w:numId="11">
    <w:abstractNumId w:val="29"/>
  </w:num>
  <w:num w:numId="12">
    <w:abstractNumId w:val="16"/>
  </w:num>
  <w:num w:numId="13">
    <w:abstractNumId w:val="4"/>
  </w:num>
  <w:num w:numId="14">
    <w:abstractNumId w:val="23"/>
  </w:num>
  <w:num w:numId="15">
    <w:abstractNumId w:val="33"/>
  </w:num>
  <w:num w:numId="16">
    <w:abstractNumId w:val="20"/>
  </w:num>
  <w:num w:numId="17">
    <w:abstractNumId w:val="32"/>
  </w:num>
  <w:num w:numId="18">
    <w:abstractNumId w:val="26"/>
  </w:num>
  <w:num w:numId="19">
    <w:abstractNumId w:val="2"/>
  </w:num>
  <w:num w:numId="20">
    <w:abstractNumId w:val="14"/>
  </w:num>
  <w:num w:numId="21">
    <w:abstractNumId w:val="22"/>
  </w:num>
  <w:num w:numId="22">
    <w:abstractNumId w:val="6"/>
  </w:num>
  <w:num w:numId="23">
    <w:abstractNumId w:val="38"/>
  </w:num>
  <w:num w:numId="24">
    <w:abstractNumId w:val="7"/>
  </w:num>
  <w:num w:numId="25">
    <w:abstractNumId w:val="35"/>
  </w:num>
  <w:num w:numId="26">
    <w:abstractNumId w:val="17"/>
  </w:num>
  <w:num w:numId="27">
    <w:abstractNumId w:val="27"/>
  </w:num>
  <w:num w:numId="28">
    <w:abstractNumId w:val="19"/>
  </w:num>
  <w:num w:numId="29">
    <w:abstractNumId w:val="31"/>
  </w:num>
  <w:num w:numId="30">
    <w:abstractNumId w:val="13"/>
  </w:num>
  <w:num w:numId="31">
    <w:abstractNumId w:val="21"/>
  </w:num>
  <w:num w:numId="32">
    <w:abstractNumId w:val="8"/>
  </w:num>
  <w:num w:numId="33">
    <w:abstractNumId w:val="34"/>
  </w:num>
  <w:num w:numId="34">
    <w:abstractNumId w:val="36"/>
  </w:num>
  <w:num w:numId="35">
    <w:abstractNumId w:val="10"/>
  </w:num>
  <w:num w:numId="36">
    <w:abstractNumId w:val="9"/>
  </w:num>
  <w:num w:numId="37">
    <w:abstractNumId w:val="12"/>
  </w:num>
  <w:num w:numId="38">
    <w:abstractNumId w:val="18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E77D3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E77D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E77D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84E2186-2D34-42FC-AEA3-6286B9F3B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793</Words>
  <Characters>4524</Characters>
  <Application>Microsoft Office Word</Application>
  <DocSecurity>0</DocSecurity>
  <Lines>37</Lines>
  <Paragraphs>10</Paragraphs>
  <ScaleCrop>false</ScaleCrop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2026-06-25T07:28:00Z</dcterms:created>
  <dcterms:modified xsi:type="dcterms:W3CDTF">2026-06-25T07:28:00Z</dcterms:modified>
</cp:coreProperties>
</file>