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49E98DE2" w:rsidR="0049405C" w:rsidRPr="00C24D79" w:rsidRDefault="00EC33AE" w:rsidP="00EC33AE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EC33AE">
              <w:rPr>
                <w:rFonts w:ascii="等线" w:eastAsia="等线" w:hAnsi="Times New Roman"/>
                <w:b/>
                <w:color w:val="000000"/>
                <w:sz w:val="48"/>
              </w:rPr>
              <w:t>WEI CHEN</w:t>
            </w:r>
            <w:bookmarkEnd w:id="0"/>
          </w:p>
          <w:p w14:paraId="118FED74" w14:textId="77777777" w:rsidR="00EC33AE" w:rsidRPr="00EC33AE" w:rsidRDefault="00EC33AE" w:rsidP="00EC33AE">
            <w:pPr>
              <w:spacing w:line="360" w:lineRule="auto"/>
              <w:rPr>
                <w:rFonts w:ascii="等线" w:eastAsia="等线" w:hAnsi="Times New Roman"/>
                <w:b/>
                <w:bCs/>
                <w:color w:val="000000"/>
              </w:rPr>
            </w:pPr>
            <w:bookmarkStart w:id="2" w:name="didian"/>
            <w:r w:rsidRPr="00EC33AE">
              <w:rPr>
                <w:rFonts w:ascii="等线" w:eastAsia="等线" w:hAnsi="Times New Roman"/>
                <w:b/>
                <w:bCs/>
                <w:color w:val="000000"/>
              </w:rPr>
              <w:t>Beijing</w:t>
            </w:r>
          </w:p>
          <w:p w14:paraId="706EB16B" w14:textId="5995271F" w:rsidR="0049405C" w:rsidRPr="00C24D79" w:rsidRDefault="00EC33AE" w:rsidP="00EC33AE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r w:rsidRPr="00EC33AE">
              <w:rPr>
                <w:rFonts w:ascii="等线" w:eastAsia="等线" w:hAnsi="Times New Roman"/>
                <w:b/>
                <w:bCs/>
                <w:color w:val="000000"/>
              </w:rPr>
              <w:t>Hong Kong</w:t>
            </w:r>
            <w:bookmarkEnd w:id="2"/>
          </w:p>
          <w:p w14:paraId="6199424A" w14:textId="4A0AC201" w:rsidR="0049405C" w:rsidRPr="00C24D79" w:rsidRDefault="00EC33AE" w:rsidP="00EC33AE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EC33AE">
              <w:rPr>
                <w:rFonts w:ascii="等线" w:eastAsia="等线" w:hAnsi="Times New Roman"/>
                <w:color w:val="000000"/>
              </w:rPr>
              <w:t xml:space="preserve">+86 10 5769 4262 / +852 3976 8888 </w:t>
            </w:r>
            <w:bookmarkEnd w:id="3"/>
          </w:p>
          <w:p w14:paraId="4F910ACA" w14:textId="19C16FDD" w:rsidR="0049405C" w:rsidRPr="00C24D79" w:rsidRDefault="00EC33AE" w:rsidP="00EC33AE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EC33AE">
              <w:rPr>
                <w:rFonts w:ascii="等线" w:eastAsia="等线" w:hAnsi="Times New Roman"/>
                <w:color w:val="000000"/>
              </w:rPr>
              <w:t>wei.chen@fangdalaw.com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602602A2" w:rsidR="0049405C" w:rsidRPr="00C24D79" w:rsidRDefault="00EC33AE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2D3FE63B" wp14:editId="09BC9F1A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2CED4069" w:rsidR="009465FB" w:rsidRPr="00C24D79" w:rsidRDefault="00EC33AE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EC33AE">
              <w:rPr>
                <w:rFonts w:ascii="等线" w:eastAsia="等线" w:hAnsi="Times New Roman"/>
                <w:color w:val="000000"/>
                <w:szCs w:val="21"/>
              </w:rPr>
              <w:t>MS. CHEN SPECIALIZES IN CORPORATE FINANCE, INCLUDING M&amp;A, VENTURE CAPITAL AND PRIVATE EQUITY.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6F659157" w14:textId="77777777" w:rsidR="00EC33AE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51C60661" w14:textId="77777777" w:rsidR="00EC33AE" w:rsidRDefault="00EC33AE" w:rsidP="00EC33AE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EC33AE">
        <w:rPr>
          <w:rFonts w:ascii="等线" w:eastAsia="等线" w:hAnsi="等线"/>
          <w:b/>
          <w:sz w:val="24"/>
        </w:rPr>
        <w:t>REPRESENTATIVE MATTERS AND CASES</w:t>
      </w:r>
    </w:p>
    <w:p w14:paraId="07434786" w14:textId="77777777" w:rsidR="00EC33AE" w:rsidRDefault="00EC33AE" w:rsidP="00EC33AE">
      <w:pPr>
        <w:pStyle w:val="af5"/>
        <w:spacing w:before="120"/>
        <w:rPr>
          <w:rFonts w:ascii="等线" w:eastAsia="等线" w:hAnsi="Times New Roman"/>
          <w:color w:val="000000"/>
        </w:rPr>
      </w:pPr>
      <w:r w:rsidRPr="00EC33AE">
        <w:rPr>
          <w:rFonts w:ascii="等线" w:eastAsia="等线" w:hAnsi="Times New Roman"/>
          <w:color w:val="000000"/>
        </w:rPr>
        <w:t>Private Equity and Venture Capital and Investments/M&amp;A</w:t>
      </w:r>
    </w:p>
    <w:p w14:paraId="6B7EBD57" w14:textId="77777777" w:rsidR="00EC33AE" w:rsidRDefault="00EC33AE" w:rsidP="00EC33AE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C33AE">
        <w:rPr>
          <w:rFonts w:ascii="等线" w:eastAsia="等线" w:hAnsi="Times New Roman"/>
          <w:color w:val="000000"/>
        </w:rPr>
        <w:t>Acted for IDG-Accel in its investments in various industries including TMT, logistics, new energy, graphene technology, micro-lending, second-hand car platforms, real estate management, group shopping and sports broadcasting</w:t>
      </w:r>
    </w:p>
    <w:p w14:paraId="549587DD" w14:textId="77777777" w:rsidR="00EC33AE" w:rsidRDefault="00EC33AE" w:rsidP="00EC33AE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C33AE">
        <w:rPr>
          <w:rFonts w:ascii="等线" w:eastAsia="等线" w:hAnsi="Times New Roman"/>
          <w:color w:val="000000"/>
        </w:rPr>
        <w:t>Acted for Ali in its investments in industries including new retail, online second-hand automobile dealing, and e-commerce</w:t>
      </w:r>
    </w:p>
    <w:p w14:paraId="398BA1F5" w14:textId="77777777" w:rsidR="00EC33AE" w:rsidRDefault="00EC33AE" w:rsidP="00EC33AE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C33AE">
        <w:rPr>
          <w:rFonts w:ascii="等线" w:eastAsia="等线" w:hAnsi="Times New Roman"/>
          <w:color w:val="000000"/>
        </w:rPr>
        <w:t>Acted for Ant Financial in its investments in various TMT and technology companies and in its technology cooperation with Apple Inc.</w:t>
      </w:r>
    </w:p>
    <w:p w14:paraId="515CB5DB" w14:textId="77777777" w:rsidR="00EC33AE" w:rsidRDefault="00EC33AE" w:rsidP="00EC33AE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C33AE">
        <w:rPr>
          <w:rFonts w:ascii="等线" w:eastAsia="等线" w:hAnsi="Times New Roman"/>
          <w:color w:val="000000"/>
        </w:rPr>
        <w:t>Acted for CICC in its investment in hospitals, TMT companies and pharmaceutical companies</w:t>
      </w:r>
    </w:p>
    <w:p w14:paraId="0B1B023A" w14:textId="77777777" w:rsidR="00EC33AE" w:rsidRDefault="00EC33AE" w:rsidP="00EC33AE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C33AE">
        <w:rPr>
          <w:rFonts w:ascii="等线" w:eastAsia="等线" w:hAnsi="Times New Roman"/>
          <w:color w:val="000000"/>
        </w:rPr>
        <w:t>Acted for Goldman Sachs in its disposition of a stake in an educational services provider in the PRC and its pre-IPO investment in an electric scooter manufacturer, which is currently listed in the Main Board of the Hong Kong Stock Exchange</w:t>
      </w:r>
    </w:p>
    <w:p w14:paraId="7D20E4BB" w14:textId="77777777" w:rsidR="00EC33AE" w:rsidRDefault="00EC33AE" w:rsidP="00EC33AE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C33AE">
        <w:rPr>
          <w:rFonts w:ascii="等线" w:eastAsia="等线" w:hAnsi="Times New Roman"/>
          <w:color w:val="000000"/>
        </w:rPr>
        <w:t>Advised Morgan Stanley on: (i) its disposition of its shares in Huangjihuang, a restaurant chain operator in China, to Yum China, and a shopping mall developer； (ii) its acquisition of a telecom service provider in Hong Kong； and (iii) its establishment of a joint venture with a Hong Kong-listed company, and the joint venture</w:t>
      </w:r>
      <w:r w:rsidRPr="00EC33AE">
        <w:rPr>
          <w:rFonts w:ascii="等线" w:eastAsia="等线" w:hAnsi="Times New Roman"/>
          <w:color w:val="000000"/>
        </w:rPr>
        <w:t>’</w:t>
      </w:r>
      <w:r w:rsidRPr="00EC33AE">
        <w:rPr>
          <w:rFonts w:ascii="等线" w:eastAsia="等线" w:hAnsi="Times New Roman"/>
          <w:color w:val="000000"/>
        </w:rPr>
        <w:t>s acquisition of majority interest in two hospitals in China</w:t>
      </w:r>
    </w:p>
    <w:p w14:paraId="6BC8F453" w14:textId="77777777" w:rsidR="00EC33AE" w:rsidRDefault="00EC33AE" w:rsidP="00EC33AE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C33AE">
        <w:rPr>
          <w:rFonts w:ascii="等线" w:eastAsia="等线" w:hAnsi="Times New Roman"/>
          <w:color w:val="000000"/>
        </w:rPr>
        <w:t>Acted for Yunfeng Capital in its investments in various TMT companies providing logistics or financial services, AI and e-commerce</w:t>
      </w:r>
    </w:p>
    <w:p w14:paraId="164D275C" w14:textId="77777777" w:rsidR="00EC33AE" w:rsidRDefault="00EC33AE" w:rsidP="00EC33AE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C33AE">
        <w:rPr>
          <w:rFonts w:ascii="等线" w:eastAsia="等线" w:hAnsi="Times New Roman"/>
          <w:color w:val="000000"/>
        </w:rPr>
        <w:t>Acted for Sequoia in its investments in financial services, bio-tech and e-commerce companies</w:t>
      </w:r>
    </w:p>
    <w:p w14:paraId="6EFC43E7" w14:textId="77777777" w:rsidR="00EC33AE" w:rsidRDefault="00EC33AE" w:rsidP="00EC33AE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C33AE">
        <w:rPr>
          <w:rFonts w:ascii="等线" w:eastAsia="等线" w:hAnsi="Times New Roman"/>
          <w:color w:val="000000"/>
        </w:rPr>
        <w:t>Acted for HOPU Fund in its investment in a Hong Kong-listed airport operator and in its privatization of a logistics company</w:t>
      </w:r>
    </w:p>
    <w:p w14:paraId="7BFC600E" w14:textId="77777777" w:rsidR="00EC33AE" w:rsidRDefault="00EC33AE" w:rsidP="00EC33AE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C33AE">
        <w:rPr>
          <w:rFonts w:ascii="等线" w:eastAsia="等线" w:hAnsi="Times New Roman"/>
          <w:color w:val="000000"/>
        </w:rPr>
        <w:t>Acted for Boyu in its investment in an online education services provider, a long-term apartment operator and a reinsurance company</w:t>
      </w:r>
    </w:p>
    <w:p w14:paraId="723C3FFA" w14:textId="77777777" w:rsidR="00EC33AE" w:rsidRDefault="00EC33AE" w:rsidP="00EC33AE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C33AE">
        <w:rPr>
          <w:rFonts w:ascii="等线" w:eastAsia="等线" w:hAnsi="Times New Roman"/>
          <w:color w:val="000000"/>
        </w:rPr>
        <w:t>Acted for Warburg Pincus in its investment in TMT, e-commerce and software companies</w:t>
      </w:r>
    </w:p>
    <w:p w14:paraId="1DAEF65C" w14:textId="77777777" w:rsidR="00EC33AE" w:rsidRDefault="00EC33AE" w:rsidP="00EC33AE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C33AE">
        <w:rPr>
          <w:rFonts w:ascii="等线" w:eastAsia="等线" w:hAnsi="Times New Roman"/>
          <w:color w:val="000000"/>
        </w:rPr>
        <w:t>Represented Forebright in its subscription of a convertible note issued by a NASDAQ-listed dairy company and acquisition (together with ORIX) of a majority stake in a financial leasing company</w:t>
      </w:r>
    </w:p>
    <w:p w14:paraId="34BACE94" w14:textId="77777777" w:rsidR="00EC33AE" w:rsidRDefault="00EC33AE" w:rsidP="00EC33AE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C33AE">
        <w:rPr>
          <w:rFonts w:ascii="等线" w:eastAsia="等线" w:hAnsi="Times New Roman"/>
          <w:color w:val="000000"/>
        </w:rPr>
        <w:t>Acted for ORIX for its investment in an energy storage system manufacturer and in financial leasing and internet financing companies</w:t>
      </w:r>
    </w:p>
    <w:p w14:paraId="746685E0" w14:textId="77777777" w:rsidR="00EC33AE" w:rsidRDefault="00EC33AE" w:rsidP="00EC33AE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C33AE">
        <w:rPr>
          <w:rFonts w:ascii="等线" w:eastAsia="等线" w:hAnsi="Times New Roman"/>
          <w:color w:val="000000"/>
        </w:rPr>
        <w:t>Acted for General Atlantic in its subscription of preferred shares issued by an online group-buying company based in China</w:t>
      </w:r>
    </w:p>
    <w:p w14:paraId="6F2A0C6E" w14:textId="77777777" w:rsidR="00EC33AE" w:rsidRDefault="00EC33AE" w:rsidP="00EC33AE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C33AE">
        <w:rPr>
          <w:rFonts w:ascii="等线" w:eastAsia="等线" w:hAnsi="Times New Roman"/>
          <w:color w:val="000000"/>
        </w:rPr>
        <w:t>Represented Titan Gas Technology in its reverse takeover of a company listed on the Main Board of the Hong Kong Stock Exchange</w:t>
      </w:r>
    </w:p>
    <w:p w14:paraId="0CF5FBD4" w14:textId="77777777" w:rsidR="00EC33AE" w:rsidRDefault="00EC33AE" w:rsidP="00EC33AE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C33AE">
        <w:rPr>
          <w:rFonts w:ascii="等线" w:eastAsia="等线" w:hAnsi="Times New Roman"/>
          <w:color w:val="000000"/>
        </w:rPr>
        <w:t>Acted for Actis and CDH in their respective dispositions of stakes in Chinese restaurant chains</w:t>
      </w:r>
    </w:p>
    <w:p w14:paraId="19019BCE" w14:textId="77777777" w:rsidR="00EC33AE" w:rsidRDefault="00EC33AE" w:rsidP="00EC33AE">
      <w:pPr>
        <w:pStyle w:val="af5"/>
        <w:spacing w:before="120"/>
        <w:rPr>
          <w:rFonts w:ascii="等线" w:eastAsia="等线" w:hAnsi="Times New Roman"/>
          <w:color w:val="000000"/>
        </w:rPr>
      </w:pPr>
      <w:r w:rsidRPr="00EC33AE">
        <w:rPr>
          <w:rFonts w:ascii="等线" w:eastAsia="等线" w:hAnsi="Times New Roman"/>
          <w:color w:val="000000"/>
        </w:rPr>
        <w:t>Outbound Investment</w:t>
      </w:r>
    </w:p>
    <w:p w14:paraId="36A979ED" w14:textId="77777777" w:rsidR="00EC33AE" w:rsidRDefault="00EC33AE" w:rsidP="00EC33AE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C33AE">
        <w:rPr>
          <w:rFonts w:ascii="等线" w:eastAsia="等线" w:hAnsi="Times New Roman"/>
          <w:color w:val="000000"/>
        </w:rPr>
        <w:t>Represented various China-based apparel companies in their acquisitions of brands and businesses outside of China</w:t>
      </w:r>
    </w:p>
    <w:p w14:paraId="469D8BC4" w14:textId="77777777" w:rsidR="00EC33AE" w:rsidRDefault="00EC33AE" w:rsidP="00EC33AE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C33AE">
        <w:rPr>
          <w:rFonts w:ascii="等线" w:eastAsia="等线" w:hAnsi="Times New Roman"/>
          <w:color w:val="000000"/>
        </w:rPr>
        <w:t>Represented Cinda International in its cross-border investments in energy, mining and agriculture sectors</w:t>
      </w:r>
    </w:p>
    <w:p w14:paraId="1EAEEFF5" w14:textId="77777777" w:rsidR="00EC33AE" w:rsidRDefault="00EC33AE" w:rsidP="00EC33AE">
      <w:pPr>
        <w:pStyle w:val="af5"/>
        <w:spacing w:before="120"/>
        <w:rPr>
          <w:rFonts w:ascii="等线" w:eastAsia="等线" w:hAnsi="Times New Roman"/>
          <w:color w:val="000000"/>
        </w:rPr>
      </w:pPr>
      <w:r w:rsidRPr="00EC33AE">
        <w:rPr>
          <w:rFonts w:ascii="等线" w:eastAsia="等线" w:hAnsi="Times New Roman"/>
          <w:color w:val="000000"/>
        </w:rPr>
        <w:t>Compliance/FDI</w:t>
      </w:r>
    </w:p>
    <w:p w14:paraId="114CE36D" w14:textId="77777777" w:rsidR="00EC33AE" w:rsidRDefault="00EC33AE" w:rsidP="00EC33AE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C33AE">
        <w:rPr>
          <w:rFonts w:ascii="等线" w:eastAsia="等线" w:hAnsi="Times New Roman"/>
          <w:color w:val="000000"/>
        </w:rPr>
        <w:t>Assisted listed companies in pharmaceutical, entertainment and financial industries with internal investigations into FCPA compliance, listing rules compliance and other compliance issues</w:t>
      </w:r>
    </w:p>
    <w:p w14:paraId="63E776C9" w14:textId="77777777" w:rsidR="00EC33AE" w:rsidRDefault="00EC33AE" w:rsidP="00EC33AE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C33AE">
        <w:rPr>
          <w:rFonts w:ascii="等线" w:eastAsia="等线" w:hAnsi="Times New Roman"/>
          <w:color w:val="000000"/>
        </w:rPr>
        <w:t>Acted for major bank in compliance investigations</w:t>
      </w:r>
    </w:p>
    <w:p w14:paraId="3D1271C2" w14:textId="77777777" w:rsidR="00EC33AE" w:rsidRDefault="00EC33AE" w:rsidP="00EC33AE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C33AE">
        <w:rPr>
          <w:rFonts w:ascii="等线" w:eastAsia="等线" w:hAnsi="Times New Roman"/>
          <w:color w:val="000000"/>
        </w:rPr>
        <w:t>Represented major multinational chemical, financial, agricultural and healthcare companies in their businesses and operations in China</w:t>
      </w:r>
    </w:p>
    <w:p w14:paraId="33644DA9" w14:textId="77777777" w:rsidR="00EC33AE" w:rsidRDefault="00EC33AE" w:rsidP="00EC33AE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EC33AE">
        <w:rPr>
          <w:rFonts w:ascii="等线" w:eastAsia="等线" w:hAnsi="等线"/>
          <w:b/>
          <w:sz w:val="24"/>
        </w:rPr>
        <w:t>Education</w:t>
      </w:r>
    </w:p>
    <w:p w14:paraId="1954EE8E" w14:textId="77777777" w:rsidR="00EC33AE" w:rsidRDefault="00EC33AE" w:rsidP="00EC33AE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C33AE">
        <w:rPr>
          <w:rFonts w:ascii="等线" w:eastAsia="等线" w:hAnsi="Times New Roman"/>
          <w:color w:val="000000"/>
        </w:rPr>
        <w:t>Boston University School of Law, Boston, Massachusetts, J.D.</w:t>
      </w:r>
    </w:p>
    <w:p w14:paraId="705F0673" w14:textId="77777777" w:rsidR="00EC33AE" w:rsidRDefault="00EC33AE" w:rsidP="00EC33AE">
      <w:pPr>
        <w:pStyle w:val="af5"/>
        <w:numPr>
          <w:ilvl w:val="0"/>
          <w:numId w:val="2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C33AE">
        <w:rPr>
          <w:rFonts w:ascii="等线" w:eastAsia="等线" w:hAnsi="Times New Roman"/>
          <w:color w:val="000000"/>
        </w:rPr>
        <w:t>Peking University School of Law, Beijing, LL.B</w:t>
      </w:r>
    </w:p>
    <w:p w14:paraId="5D872374" w14:textId="77777777" w:rsidR="00EC33AE" w:rsidRDefault="00EC33AE" w:rsidP="00EC33AE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EC33AE">
        <w:rPr>
          <w:rFonts w:ascii="等线" w:eastAsia="等线" w:hAnsi="等线"/>
          <w:b/>
          <w:sz w:val="24"/>
        </w:rPr>
        <w:t>Professional Qualification</w:t>
      </w:r>
    </w:p>
    <w:p w14:paraId="0E9A6206" w14:textId="77777777" w:rsidR="00EC33AE" w:rsidRDefault="00EC33AE" w:rsidP="00EC33AE">
      <w:pPr>
        <w:pStyle w:val="af5"/>
        <w:numPr>
          <w:ilvl w:val="0"/>
          <w:numId w:val="2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C33AE">
        <w:rPr>
          <w:rFonts w:ascii="等线" w:eastAsia="等线" w:hAnsi="Times New Roman"/>
          <w:color w:val="000000"/>
        </w:rPr>
        <w:t>Admitted to practice in New York</w:t>
      </w:r>
    </w:p>
    <w:p w14:paraId="5A49F451" w14:textId="77777777" w:rsidR="00EC33AE" w:rsidRDefault="00EC33AE" w:rsidP="00EC33AE">
      <w:pPr>
        <w:pStyle w:val="af5"/>
        <w:numPr>
          <w:ilvl w:val="0"/>
          <w:numId w:val="2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C33AE">
        <w:rPr>
          <w:rFonts w:ascii="等线" w:eastAsia="等线" w:hAnsi="Times New Roman"/>
          <w:color w:val="000000"/>
        </w:rPr>
        <w:t>Admitted to practice in Massachusetts (currently inactive)</w:t>
      </w:r>
    </w:p>
    <w:p w14:paraId="048D6B6D" w14:textId="77777777" w:rsidR="00EC33AE" w:rsidRDefault="00EC33AE" w:rsidP="00EC33AE">
      <w:pPr>
        <w:pStyle w:val="af5"/>
        <w:numPr>
          <w:ilvl w:val="0"/>
          <w:numId w:val="2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C33AE">
        <w:rPr>
          <w:rFonts w:ascii="等线" w:eastAsia="等线" w:hAnsi="Times New Roman"/>
          <w:color w:val="000000"/>
        </w:rPr>
        <w:t>Registered Foreign Lawyer in Hong Kong SAR</w:t>
      </w:r>
    </w:p>
    <w:p w14:paraId="2DEF712F" w14:textId="77777777" w:rsidR="00EC33AE" w:rsidRDefault="00EC33AE" w:rsidP="00EC33AE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EC33AE">
        <w:rPr>
          <w:rFonts w:ascii="等线" w:eastAsia="等线" w:hAnsi="等线"/>
          <w:b/>
          <w:sz w:val="24"/>
        </w:rPr>
        <w:t>Work Language</w:t>
      </w:r>
    </w:p>
    <w:p w14:paraId="57A749A4" w14:textId="77777777" w:rsidR="00EC33AE" w:rsidRDefault="00EC33AE" w:rsidP="00EC33AE">
      <w:pPr>
        <w:pStyle w:val="af5"/>
        <w:numPr>
          <w:ilvl w:val="0"/>
          <w:numId w:val="3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C33AE">
        <w:rPr>
          <w:rFonts w:ascii="等线" w:eastAsia="等线" w:hAnsi="Times New Roman"/>
          <w:color w:val="000000"/>
        </w:rPr>
        <w:t>English</w:t>
      </w:r>
    </w:p>
    <w:p w14:paraId="6AC36434" w14:textId="77777777" w:rsidR="00EC33AE" w:rsidRDefault="00EC33AE" w:rsidP="00EC33AE">
      <w:pPr>
        <w:pStyle w:val="af5"/>
        <w:numPr>
          <w:ilvl w:val="0"/>
          <w:numId w:val="3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C33AE">
        <w:rPr>
          <w:rFonts w:ascii="等线" w:eastAsia="等线" w:hAnsi="Times New Roman"/>
          <w:color w:val="000000"/>
        </w:rPr>
        <w:t>Mandarin</w:t>
      </w:r>
    </w:p>
    <w:p w14:paraId="74CCA4F3" w14:textId="77777777" w:rsidR="00EC33AE" w:rsidRDefault="00EC33AE" w:rsidP="00EC33AE">
      <w:pPr>
        <w:pStyle w:val="af5"/>
        <w:numPr>
          <w:ilvl w:val="0"/>
          <w:numId w:val="3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C33AE">
        <w:rPr>
          <w:rFonts w:ascii="等线" w:eastAsia="等线" w:hAnsi="Times New Roman"/>
          <w:color w:val="000000"/>
        </w:rPr>
        <w:t>Cantonese</w:t>
      </w:r>
    </w:p>
    <w:p w14:paraId="4AD4CDDF" w14:textId="77777777" w:rsidR="00EC33AE" w:rsidRDefault="00EC33AE" w:rsidP="00EC33AE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EC33AE">
        <w:rPr>
          <w:rFonts w:ascii="等线" w:eastAsia="等线" w:hAnsi="等线"/>
          <w:b/>
          <w:sz w:val="24"/>
        </w:rPr>
        <w:t>Professional Background</w:t>
      </w:r>
    </w:p>
    <w:p w14:paraId="5567FC3C" w14:textId="29459D13" w:rsidR="00686369" w:rsidRPr="00EC33AE" w:rsidRDefault="00EC33AE" w:rsidP="00EC33AE">
      <w:pPr>
        <w:pStyle w:val="af5"/>
        <w:numPr>
          <w:ilvl w:val="0"/>
          <w:numId w:val="3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C33AE">
        <w:rPr>
          <w:rFonts w:ascii="等线" w:eastAsia="等线" w:hAnsi="Times New Roman"/>
          <w:color w:val="000000"/>
        </w:rPr>
        <w:t>Ms. Chen joined Fangda Partners in 2017. Before joining the firm, she worked at major law firms, including Linklaters LLP and Paul, Weiss, Rifkind, Wharton &amp; Garrison LLP in both Beijing and Hong Kong. She has been recognized by Asialaw</w:t>
      </w:r>
      <w:r w:rsidRPr="00EC33AE">
        <w:rPr>
          <w:rFonts w:ascii="等线" w:eastAsia="等线" w:hAnsi="Times New Roman"/>
          <w:color w:val="000000"/>
        </w:rPr>
        <w:t>’</w:t>
      </w:r>
      <w:r w:rsidRPr="00EC33AE">
        <w:rPr>
          <w:rFonts w:ascii="等线" w:eastAsia="等线" w:hAnsi="Times New Roman"/>
          <w:color w:val="000000"/>
        </w:rPr>
        <w:t xml:space="preserve">s </w:t>
      </w:r>
      <w:r w:rsidRPr="00EC33AE">
        <w:rPr>
          <w:rFonts w:ascii="等线" w:eastAsia="等线" w:hAnsi="Times New Roman"/>
          <w:color w:val="000000"/>
        </w:rPr>
        <w:t>“</w:t>
      </w:r>
      <w:r w:rsidRPr="00EC33AE">
        <w:rPr>
          <w:rFonts w:ascii="等线" w:eastAsia="等线" w:hAnsi="Times New Roman"/>
          <w:color w:val="000000"/>
        </w:rPr>
        <w:t>Leading Lawyers 2009</w:t>
      </w:r>
      <w:r w:rsidRPr="00EC33AE">
        <w:rPr>
          <w:rFonts w:ascii="等线" w:eastAsia="等线" w:hAnsi="Times New Roman"/>
          <w:color w:val="000000"/>
        </w:rPr>
        <w:t>”</w:t>
      </w:r>
      <w:r w:rsidRPr="00EC33AE">
        <w:rPr>
          <w:rFonts w:ascii="等线" w:eastAsia="等线" w:hAnsi="Times New Roman"/>
          <w:color w:val="000000"/>
        </w:rPr>
        <w:t xml:space="preserve"> as a leading lawyer in venture capital and private equity.</w:t>
      </w:r>
    </w:p>
    <w:sectPr w:rsidR="00686369" w:rsidRPr="00EC33AE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526FB6"/>
    <w:multiLevelType w:val="singleLevel"/>
    <w:tmpl w:val="6624DE9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9180604"/>
    <w:multiLevelType w:val="singleLevel"/>
    <w:tmpl w:val="CD3E7CF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D55196F"/>
    <w:multiLevelType w:val="singleLevel"/>
    <w:tmpl w:val="DD4C641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0DE254EF"/>
    <w:multiLevelType w:val="singleLevel"/>
    <w:tmpl w:val="C756BC7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0FF54D75"/>
    <w:multiLevelType w:val="singleLevel"/>
    <w:tmpl w:val="544ECEC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10721F66"/>
    <w:multiLevelType w:val="singleLevel"/>
    <w:tmpl w:val="7596883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130A1741"/>
    <w:multiLevelType w:val="singleLevel"/>
    <w:tmpl w:val="8E94572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13DA3797"/>
    <w:multiLevelType w:val="singleLevel"/>
    <w:tmpl w:val="D512BD1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16F57A97"/>
    <w:multiLevelType w:val="singleLevel"/>
    <w:tmpl w:val="697C38E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1A8759DD"/>
    <w:multiLevelType w:val="singleLevel"/>
    <w:tmpl w:val="1796197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22D73F8E"/>
    <w:multiLevelType w:val="singleLevel"/>
    <w:tmpl w:val="83585F0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250A2534"/>
    <w:multiLevelType w:val="singleLevel"/>
    <w:tmpl w:val="F9EA2BE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25322CDC"/>
    <w:multiLevelType w:val="singleLevel"/>
    <w:tmpl w:val="A35EE8B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26FB3076"/>
    <w:multiLevelType w:val="singleLevel"/>
    <w:tmpl w:val="52A60EF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29950207"/>
    <w:multiLevelType w:val="singleLevel"/>
    <w:tmpl w:val="612C4E3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29FC5A9A"/>
    <w:multiLevelType w:val="singleLevel"/>
    <w:tmpl w:val="EC90023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2A6A6139"/>
    <w:multiLevelType w:val="singleLevel"/>
    <w:tmpl w:val="8CA0548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2C40559F"/>
    <w:multiLevelType w:val="singleLevel"/>
    <w:tmpl w:val="4194536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2EA119C5"/>
    <w:multiLevelType w:val="singleLevel"/>
    <w:tmpl w:val="DD4C641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20" w15:restartNumberingAfterBreak="0">
    <w:nsid w:val="38752006"/>
    <w:multiLevelType w:val="singleLevel"/>
    <w:tmpl w:val="3676C5A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22" w15:restartNumberingAfterBreak="0">
    <w:nsid w:val="3C217D15"/>
    <w:multiLevelType w:val="singleLevel"/>
    <w:tmpl w:val="0B7633D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484D7A67"/>
    <w:multiLevelType w:val="singleLevel"/>
    <w:tmpl w:val="587270B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53F823A4"/>
    <w:multiLevelType w:val="singleLevel"/>
    <w:tmpl w:val="68FE438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54102D60"/>
    <w:multiLevelType w:val="singleLevel"/>
    <w:tmpl w:val="FA44871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54E766FF"/>
    <w:multiLevelType w:val="singleLevel"/>
    <w:tmpl w:val="F2228EE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7" w15:restartNumberingAfterBreak="0">
    <w:nsid w:val="590B3461"/>
    <w:multiLevelType w:val="singleLevel"/>
    <w:tmpl w:val="6FA0D44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8" w15:restartNumberingAfterBreak="0">
    <w:nsid w:val="5BBD3626"/>
    <w:multiLevelType w:val="singleLevel"/>
    <w:tmpl w:val="D168FE1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9" w15:restartNumberingAfterBreak="0">
    <w:nsid w:val="629959B2"/>
    <w:multiLevelType w:val="singleLevel"/>
    <w:tmpl w:val="4DD0A09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0" w15:restartNumberingAfterBreak="0">
    <w:nsid w:val="648E62BA"/>
    <w:multiLevelType w:val="singleLevel"/>
    <w:tmpl w:val="AAFAD1F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1" w15:restartNumberingAfterBreak="0">
    <w:nsid w:val="666B6AC1"/>
    <w:multiLevelType w:val="singleLevel"/>
    <w:tmpl w:val="646871B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2" w15:restartNumberingAfterBreak="0">
    <w:nsid w:val="7FC328D8"/>
    <w:multiLevelType w:val="singleLevel"/>
    <w:tmpl w:val="ECAE582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19"/>
  </w:num>
  <w:num w:numId="2">
    <w:abstractNumId w:val="21"/>
  </w:num>
  <w:num w:numId="3">
    <w:abstractNumId w:val="14"/>
  </w:num>
  <w:num w:numId="4">
    <w:abstractNumId w:val="6"/>
  </w:num>
  <w:num w:numId="5">
    <w:abstractNumId w:val="30"/>
  </w:num>
  <w:num w:numId="6">
    <w:abstractNumId w:val="27"/>
  </w:num>
  <w:num w:numId="7">
    <w:abstractNumId w:val="17"/>
  </w:num>
  <w:num w:numId="8">
    <w:abstractNumId w:val="23"/>
  </w:num>
  <w:num w:numId="9">
    <w:abstractNumId w:val="24"/>
  </w:num>
  <w:num w:numId="10">
    <w:abstractNumId w:val="10"/>
  </w:num>
  <w:num w:numId="11">
    <w:abstractNumId w:val="32"/>
  </w:num>
  <w:num w:numId="12">
    <w:abstractNumId w:val="7"/>
  </w:num>
  <w:num w:numId="13">
    <w:abstractNumId w:val="26"/>
  </w:num>
  <w:num w:numId="14">
    <w:abstractNumId w:val="29"/>
  </w:num>
  <w:num w:numId="15">
    <w:abstractNumId w:val="1"/>
  </w:num>
  <w:num w:numId="16">
    <w:abstractNumId w:val="13"/>
  </w:num>
  <w:num w:numId="17">
    <w:abstractNumId w:val="31"/>
  </w:num>
  <w:num w:numId="18">
    <w:abstractNumId w:val="20"/>
  </w:num>
  <w:num w:numId="19">
    <w:abstractNumId w:val="28"/>
  </w:num>
  <w:num w:numId="20">
    <w:abstractNumId w:val="15"/>
  </w:num>
  <w:num w:numId="21">
    <w:abstractNumId w:val="3"/>
  </w:num>
  <w:num w:numId="22">
    <w:abstractNumId w:val="25"/>
  </w:num>
  <w:num w:numId="23">
    <w:abstractNumId w:val="5"/>
  </w:num>
  <w:num w:numId="24">
    <w:abstractNumId w:val="11"/>
  </w:num>
  <w:num w:numId="25">
    <w:abstractNumId w:val="4"/>
  </w:num>
  <w:num w:numId="26">
    <w:abstractNumId w:val="16"/>
  </w:num>
  <w:num w:numId="27">
    <w:abstractNumId w:val="22"/>
  </w:num>
  <w:num w:numId="28">
    <w:abstractNumId w:val="0"/>
  </w:num>
  <w:num w:numId="29">
    <w:abstractNumId w:val="9"/>
  </w:num>
  <w:num w:numId="30">
    <w:abstractNumId w:val="12"/>
  </w:num>
  <w:num w:numId="31">
    <w:abstractNumId w:val="8"/>
  </w:num>
  <w:num w:numId="32">
    <w:abstractNumId w:val="18"/>
  </w:num>
  <w:num w:numId="3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C33AE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EC33AE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EC33AE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D1362716-2499-40AF-913F-71D6E66D1E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601</Words>
  <Characters>3426</Characters>
  <Application>Microsoft Office Word</Application>
  <DocSecurity>0</DocSecurity>
  <Lines>28</Lines>
  <Paragraphs>8</Paragraphs>
  <ScaleCrop>false</ScaleCrop>
  <Company/>
  <LinksUpToDate>false</LinksUpToDate>
  <CharactersWithSpaces>4019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2026-10-29T09:02:00Z</dcterms:created>
  <dcterms:modified xsi:type="dcterms:W3CDTF">2026-10-29T09:02:00Z</dcterms:modified>
</cp:coreProperties>
</file>