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7D1FE56" w:rsidR="0049405C" w:rsidRPr="00C24D79" w:rsidRDefault="004A3235" w:rsidP="004A323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A3235">
              <w:rPr>
                <w:rFonts w:ascii="等线" w:eastAsia="等线" w:hAnsi="Times New Roman"/>
                <w:b/>
                <w:color w:val="000000"/>
                <w:sz w:val="48"/>
              </w:rPr>
              <w:t>SIYUAN PAN</w:t>
            </w:r>
            <w:bookmarkEnd w:id="0"/>
          </w:p>
          <w:p w14:paraId="706EB16B" w14:textId="6E16EBED" w:rsidR="0049405C" w:rsidRPr="00C24D79" w:rsidRDefault="004A3235" w:rsidP="004A323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A3235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4A323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A3235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0065D644" w:rsidR="0049405C" w:rsidRPr="00C24D79" w:rsidRDefault="004A3235" w:rsidP="004A323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A3235">
              <w:rPr>
                <w:rFonts w:ascii="等线" w:eastAsia="等线" w:hAnsi="Times New Roman"/>
                <w:color w:val="000000"/>
              </w:rPr>
              <w:t xml:space="preserve">+86 10 5769 5619 / +86 158 0128 1126 </w:t>
            </w:r>
            <w:bookmarkEnd w:id="3"/>
          </w:p>
          <w:p w14:paraId="4F910ACA" w14:textId="5DD9A938" w:rsidR="0049405C" w:rsidRPr="00C24D79" w:rsidRDefault="004A3235" w:rsidP="004A323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A3235">
              <w:rPr>
                <w:rFonts w:ascii="等线" w:eastAsia="等线" w:hAnsi="Times New Roman"/>
                <w:color w:val="000000"/>
              </w:rPr>
              <w:t>siyuan.pan@fangdalaw.com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E38B0BB" w:rsidR="0049405C" w:rsidRPr="00C24D79" w:rsidRDefault="004A323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FE0CEF3" wp14:editId="4FDB3AA5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23DC43B" w:rsidR="009465FB" w:rsidRPr="00C24D79" w:rsidRDefault="004A323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A3235">
              <w:rPr>
                <w:rFonts w:ascii="等线" w:eastAsia="等线" w:hAnsi="Times New Roman"/>
                <w:color w:val="000000"/>
                <w:szCs w:val="21"/>
              </w:rPr>
              <w:t>MS. PAN SPECIALIZES IN M&amp;A AND CORPORATE MATTERS, WITH EXTENSIVE EXPERIENCE IN FOREIGN INVESTMENT IN CHINA, OUTBOUND ACQUISITIONS,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D81C7BE" w14:textId="77777777" w:rsidR="004A323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1B35B8E" w14:textId="77777777" w:rsidR="004A3235" w:rsidRDefault="004A3235" w:rsidP="004A323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A3235">
        <w:rPr>
          <w:rFonts w:ascii="等线" w:eastAsia="等线" w:hAnsi="等线"/>
          <w:b/>
          <w:sz w:val="24"/>
        </w:rPr>
        <w:t>REPRESENTATIVE MATTERS AND CASES</w:t>
      </w:r>
    </w:p>
    <w:p w14:paraId="0D92A9F4" w14:textId="77777777" w:rsidR="004A3235" w:rsidRDefault="004A3235" w:rsidP="004A3235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5E0F62A" w14:textId="77777777" w:rsidR="004A3235" w:rsidRDefault="004A3235" w:rsidP="004A323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Represented BlackRock Group on its establishment of a foreign-controlled wealth management joint venture together with CCB Wealth Management Co., Ltd. and an affiliate of Temasek, Fullerton Management Pte. Ltd</w:t>
      </w:r>
    </w:p>
    <w:p w14:paraId="0EE7F70A" w14:textId="77777777" w:rsidR="004A3235" w:rsidRDefault="004A3235" w:rsidP="004A323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Represented Haier Electronics Group Co., Ltd. in its privatization by way of a scheme of arrangement and the withdrawal of HEG</w:t>
      </w:r>
      <w:r w:rsidRPr="004A3235">
        <w:rPr>
          <w:rFonts w:ascii="等线" w:eastAsia="等线" w:hAnsi="Times New Roman"/>
          <w:color w:val="000000"/>
        </w:rPr>
        <w:t>’</w:t>
      </w:r>
      <w:r w:rsidRPr="004A3235">
        <w:rPr>
          <w:rFonts w:ascii="等线" w:eastAsia="等线" w:hAnsi="Times New Roman"/>
          <w:color w:val="000000"/>
        </w:rPr>
        <w:t>s listing</w:t>
      </w:r>
    </w:p>
    <w:p w14:paraId="2FC4A2B7" w14:textId="77777777" w:rsidR="004A3235" w:rsidRDefault="004A3235" w:rsidP="004A323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Represented Shanghai Electric Investment Co., Ltd. in its subscription of 49% interest in Terrenus Energy SL2 Pte. Ltd</w:t>
      </w:r>
    </w:p>
    <w:p w14:paraId="78C117EF" w14:textId="77777777" w:rsidR="004A3235" w:rsidRDefault="004A3235" w:rsidP="004A323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Represented Affinity Equity Partners Limited in its sale of equity interest in UTAC Holdings Ltd (UTAC)</w:t>
      </w:r>
    </w:p>
    <w:p w14:paraId="1D3CF324" w14:textId="77777777" w:rsidR="004A3235" w:rsidRDefault="004A3235" w:rsidP="004A323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Represented CMG-SDIC Capital in its RMB 1 billion strategic investment in SVOLT Energy Technology Co., Ltd., an innovator in the R&amp;D and manufacture of next-generation battery materials, cells, modules, systems, BMS, energy storage systems and solar technology</w:t>
      </w:r>
    </w:p>
    <w:p w14:paraId="4AFA47ED" w14:textId="77777777" w:rsidR="004A3235" w:rsidRDefault="004A3235" w:rsidP="004A323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Represented a Chinese investor in selling 100% equity interest in an online payment company</w:t>
      </w:r>
    </w:p>
    <w:p w14:paraId="0936518A" w14:textId="77777777" w:rsidR="004A3235" w:rsidRDefault="004A3235" w:rsidP="004A323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Represented Saudi Aramco, in its negotiations with Chinese oil companies for joint ventures and other potential cooperation in China, including formation of a joint venture with China North Industries Group Co., Ltd. to own and operate refinery facilities in Panjin, Liaoning Province, with a targeted total investment of US$10 billion</w:t>
      </w:r>
    </w:p>
    <w:p w14:paraId="56EA617B" w14:textId="77777777" w:rsidR="004A3235" w:rsidRDefault="004A3235" w:rsidP="004A323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Represented Saudi Basic Industries Corporation (SABIC) in its US $3.28 billion joint venture with China Petroleum &amp; Chemical Corporation (Sinopec) to acquire and operate a new petrochemical complex adjacent to Sinopec</w:t>
      </w:r>
      <w:r w:rsidRPr="004A3235">
        <w:rPr>
          <w:rFonts w:ascii="等线" w:eastAsia="等线" w:hAnsi="Times New Roman"/>
          <w:color w:val="000000"/>
        </w:rPr>
        <w:t>’</w:t>
      </w:r>
      <w:r w:rsidRPr="004A3235">
        <w:rPr>
          <w:rFonts w:ascii="等线" w:eastAsia="等线" w:hAnsi="Times New Roman"/>
          <w:color w:val="000000"/>
        </w:rPr>
        <w:t>s existing refineries in the coastal municipality in Tianjin</w:t>
      </w:r>
    </w:p>
    <w:p w14:paraId="2B9A28C4" w14:textId="77777777" w:rsidR="004A3235" w:rsidRDefault="004A3235" w:rsidP="004A323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Represented Shanghai Electric, in its proposed joint venture with a local partner to own, develop and operate solar energy projects in Singapore</w:t>
      </w:r>
    </w:p>
    <w:p w14:paraId="7BBC2BB4" w14:textId="77777777" w:rsidR="004A3235" w:rsidRDefault="004A3235" w:rsidP="004A323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Represented a state-owned investment company in its acquisition of a minority interest in the vessel assets owned and operated by a Hong Kong company</w:t>
      </w:r>
    </w:p>
    <w:p w14:paraId="4554ED3A" w14:textId="77777777" w:rsidR="004A3235" w:rsidRDefault="004A3235" w:rsidP="004A323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Represented Qingdao Haier Co., Ltd. in its US $5.4 billion acquisition of GE Appliances unit from GE through an auction process</w:t>
      </w:r>
    </w:p>
    <w:p w14:paraId="39928097" w14:textId="77777777" w:rsidR="004A3235" w:rsidRDefault="004A3235" w:rsidP="004A323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Represented Haier Group in its NZ $927 million takeover of Fisher &amp; Paykel Appliances Holdings Limited, based in New Zealand</w:t>
      </w:r>
    </w:p>
    <w:p w14:paraId="60A6D1DD" w14:textId="77777777" w:rsidR="004A3235" w:rsidRDefault="004A3235" w:rsidP="004A323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Represented Haier Group in its acquisition of a portion of Sanyo</w:t>
      </w:r>
      <w:r w:rsidRPr="004A3235">
        <w:rPr>
          <w:rFonts w:ascii="等线" w:eastAsia="等线" w:hAnsi="Times New Roman"/>
          <w:color w:val="000000"/>
        </w:rPr>
        <w:t>’</w:t>
      </w:r>
      <w:r w:rsidRPr="004A3235">
        <w:rPr>
          <w:rFonts w:ascii="等线" w:eastAsia="等线" w:hAnsi="Times New Roman"/>
          <w:color w:val="000000"/>
        </w:rPr>
        <w:t>s consumer electronic appliance businesses, including relevant intellectual property, work force, IT systems and distribution channels</w:t>
      </w:r>
    </w:p>
    <w:p w14:paraId="0304EF47" w14:textId="77777777" w:rsidR="004A3235" w:rsidRDefault="004A3235" w:rsidP="004A323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Represented HNA in its acquisition from GIC and Temasek of 16.79% shares of Dufry AG, the Swiss-listed duty-free store operating company</w:t>
      </w:r>
    </w:p>
    <w:p w14:paraId="00734557" w14:textId="77777777" w:rsidR="004A3235" w:rsidRDefault="004A3235" w:rsidP="004A323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Advised Amer Sports on a public tender offer for its shares submitted by a consortium represented by Anta Group</w:t>
      </w:r>
    </w:p>
    <w:p w14:paraId="62A57C32" w14:textId="77777777" w:rsidR="004A3235" w:rsidRDefault="004A3235" w:rsidP="004A323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Represented Nestle SA in its S $2.1 billion acquisition of 60% of Singapore-listed Hsu Fu Chi, a leading manufacturer and distributor of confectionary products in China, and in its joint venture with the Hsu family, who retained a 40% interest in Hsu Fu Chi</w:t>
      </w:r>
    </w:p>
    <w:p w14:paraId="63EE7D1C" w14:textId="77777777" w:rsidR="004A3235" w:rsidRDefault="004A3235" w:rsidP="004A323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Represented Luvata Oy, a portfolio company of Nordea Capital, in selling its copper tube business in Asia to Zhejiang Hailiang Co. Ltd, a China-listed company</w:t>
      </w:r>
    </w:p>
    <w:p w14:paraId="664AFB29" w14:textId="77777777" w:rsidR="004A3235" w:rsidRDefault="004A3235" w:rsidP="004A323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Representing a major international oil company in establishing a refining and chemical joint venture in China with a Chinese partner, and negotiating other businesses</w:t>
      </w:r>
    </w:p>
    <w:p w14:paraId="7A0EEF7C" w14:textId="77777777" w:rsidR="004A3235" w:rsidRDefault="004A3235" w:rsidP="004A3235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Represented MI Energy in its acquisition of an oil field in Kazakhstan</w:t>
      </w:r>
    </w:p>
    <w:p w14:paraId="609CDACA" w14:textId="77777777" w:rsidR="004A3235" w:rsidRDefault="004A3235" w:rsidP="004A3235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Represented a leading US e-cigarette manufacturer in setting up a wholly foreign-owned enterprise in China and advised on its daily operations in China</w:t>
      </w:r>
    </w:p>
    <w:p w14:paraId="5656F2FC" w14:textId="77777777" w:rsidR="004A3235" w:rsidRDefault="004A3235" w:rsidP="004A3235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Represented various multinational companies in setting up employee incentive programs</w:t>
      </w:r>
    </w:p>
    <w:p w14:paraId="02BB457B" w14:textId="77777777" w:rsidR="004A3235" w:rsidRDefault="004A3235" w:rsidP="004A323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A3235">
        <w:rPr>
          <w:rFonts w:ascii="等线" w:eastAsia="等线" w:hAnsi="等线"/>
          <w:b/>
          <w:sz w:val="24"/>
        </w:rPr>
        <w:t>Education</w:t>
      </w:r>
    </w:p>
    <w:p w14:paraId="61318258" w14:textId="77777777" w:rsidR="004A3235" w:rsidRDefault="004A3235" w:rsidP="004A3235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Peking University, LL.B</w:t>
      </w:r>
    </w:p>
    <w:p w14:paraId="6531F2A4" w14:textId="77777777" w:rsidR="004A3235" w:rsidRDefault="004A3235" w:rsidP="004A3235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Boston University School of Law, LL.M</w:t>
      </w:r>
    </w:p>
    <w:p w14:paraId="19D4E6AE" w14:textId="77777777" w:rsidR="004A3235" w:rsidRDefault="004A3235" w:rsidP="004A323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A3235">
        <w:rPr>
          <w:rFonts w:ascii="等线" w:eastAsia="等线" w:hAnsi="等线"/>
          <w:b/>
          <w:sz w:val="24"/>
        </w:rPr>
        <w:t>Professional Qualification</w:t>
      </w:r>
    </w:p>
    <w:p w14:paraId="7CEB9E93" w14:textId="77777777" w:rsidR="004A3235" w:rsidRDefault="004A3235" w:rsidP="004A3235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Admitted to practice in the PRC</w:t>
      </w:r>
    </w:p>
    <w:p w14:paraId="390C93A5" w14:textId="77777777" w:rsidR="004A3235" w:rsidRDefault="004A3235" w:rsidP="004A3235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Admitted to practice in New York</w:t>
      </w:r>
    </w:p>
    <w:p w14:paraId="43B5D4FA" w14:textId="77777777" w:rsidR="004A3235" w:rsidRDefault="004A3235" w:rsidP="004A323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A3235">
        <w:rPr>
          <w:rFonts w:ascii="等线" w:eastAsia="等线" w:hAnsi="等线"/>
          <w:b/>
          <w:sz w:val="24"/>
        </w:rPr>
        <w:t>Professional Background</w:t>
      </w:r>
    </w:p>
    <w:p w14:paraId="5567FC3C" w14:textId="31B846B9" w:rsidR="00686369" w:rsidRPr="004A3235" w:rsidRDefault="004A3235" w:rsidP="004A3235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A3235">
        <w:rPr>
          <w:rFonts w:ascii="等线" w:eastAsia="等线" w:hAnsi="Times New Roman"/>
          <w:color w:val="000000"/>
        </w:rPr>
        <w:t>Before joining the firm, Ms. Pan worked in the Beijing office and Singapore office of White &amp; Case LLP for 12 years, and worked in the Beijing office of Zhong Lun Law Firm for 3 years.</w:t>
      </w:r>
    </w:p>
    <w:sectPr w:rsidR="00686369" w:rsidRPr="004A323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5E39"/>
    <w:multiLevelType w:val="singleLevel"/>
    <w:tmpl w:val="F31C2A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425648"/>
    <w:multiLevelType w:val="singleLevel"/>
    <w:tmpl w:val="971EFA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201956"/>
    <w:multiLevelType w:val="singleLevel"/>
    <w:tmpl w:val="A0D23B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07E62AA"/>
    <w:multiLevelType w:val="singleLevel"/>
    <w:tmpl w:val="02C20A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1257896"/>
    <w:multiLevelType w:val="singleLevel"/>
    <w:tmpl w:val="53C8B2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9A809AB"/>
    <w:multiLevelType w:val="singleLevel"/>
    <w:tmpl w:val="281CFD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833765"/>
    <w:multiLevelType w:val="singleLevel"/>
    <w:tmpl w:val="8F7E81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EC352A4"/>
    <w:multiLevelType w:val="singleLevel"/>
    <w:tmpl w:val="0AFA9B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75B13C3"/>
    <w:multiLevelType w:val="singleLevel"/>
    <w:tmpl w:val="63506E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8F0490D"/>
    <w:multiLevelType w:val="singleLevel"/>
    <w:tmpl w:val="8F4239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AA708F3"/>
    <w:multiLevelType w:val="singleLevel"/>
    <w:tmpl w:val="0AFA9B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2F162026"/>
    <w:multiLevelType w:val="singleLevel"/>
    <w:tmpl w:val="8A4298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0F278F0"/>
    <w:multiLevelType w:val="singleLevel"/>
    <w:tmpl w:val="7918E8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1181C7F"/>
    <w:multiLevelType w:val="singleLevel"/>
    <w:tmpl w:val="6ED8AB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1F24D87"/>
    <w:multiLevelType w:val="singleLevel"/>
    <w:tmpl w:val="C49E56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6E52105"/>
    <w:multiLevelType w:val="singleLevel"/>
    <w:tmpl w:val="603EAC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490D43A4"/>
    <w:multiLevelType w:val="singleLevel"/>
    <w:tmpl w:val="19B247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0CC57C0"/>
    <w:multiLevelType w:val="singleLevel"/>
    <w:tmpl w:val="309653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1894D59"/>
    <w:multiLevelType w:val="singleLevel"/>
    <w:tmpl w:val="7EE0D7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8A62AF2"/>
    <w:multiLevelType w:val="singleLevel"/>
    <w:tmpl w:val="081090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16938B6"/>
    <w:multiLevelType w:val="singleLevel"/>
    <w:tmpl w:val="E8DAA2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1AA6F6E"/>
    <w:multiLevelType w:val="singleLevel"/>
    <w:tmpl w:val="2CC4CA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6AF1D91"/>
    <w:multiLevelType w:val="singleLevel"/>
    <w:tmpl w:val="901C12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1E23354"/>
    <w:multiLevelType w:val="singleLevel"/>
    <w:tmpl w:val="8208EC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6266778"/>
    <w:multiLevelType w:val="singleLevel"/>
    <w:tmpl w:val="95AC59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9DC4016"/>
    <w:multiLevelType w:val="singleLevel"/>
    <w:tmpl w:val="38F8DC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AA13A52"/>
    <w:multiLevelType w:val="singleLevel"/>
    <w:tmpl w:val="3D3A59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7"/>
  </w:num>
  <w:num w:numId="3">
    <w:abstractNumId w:val="20"/>
  </w:num>
  <w:num w:numId="4">
    <w:abstractNumId w:val="3"/>
  </w:num>
  <w:num w:numId="5">
    <w:abstractNumId w:val="6"/>
  </w:num>
  <w:num w:numId="6">
    <w:abstractNumId w:val="0"/>
  </w:num>
  <w:num w:numId="7">
    <w:abstractNumId w:val="24"/>
  </w:num>
  <w:num w:numId="8">
    <w:abstractNumId w:val="15"/>
  </w:num>
  <w:num w:numId="9">
    <w:abstractNumId w:val="4"/>
  </w:num>
  <w:num w:numId="10">
    <w:abstractNumId w:val="21"/>
  </w:num>
  <w:num w:numId="11">
    <w:abstractNumId w:val="25"/>
  </w:num>
  <w:num w:numId="12">
    <w:abstractNumId w:val="28"/>
  </w:num>
  <w:num w:numId="13">
    <w:abstractNumId w:val="18"/>
  </w:num>
  <w:num w:numId="14">
    <w:abstractNumId w:val="19"/>
  </w:num>
  <w:num w:numId="15">
    <w:abstractNumId w:val="23"/>
  </w:num>
  <w:num w:numId="16">
    <w:abstractNumId w:val="1"/>
  </w:num>
  <w:num w:numId="17">
    <w:abstractNumId w:val="13"/>
  </w:num>
  <w:num w:numId="18">
    <w:abstractNumId w:val="9"/>
  </w:num>
  <w:num w:numId="19">
    <w:abstractNumId w:val="27"/>
  </w:num>
  <w:num w:numId="20">
    <w:abstractNumId w:val="12"/>
  </w:num>
  <w:num w:numId="21">
    <w:abstractNumId w:val="14"/>
  </w:num>
  <w:num w:numId="22">
    <w:abstractNumId w:val="2"/>
  </w:num>
  <w:num w:numId="23">
    <w:abstractNumId w:val="8"/>
  </w:num>
  <w:num w:numId="24">
    <w:abstractNumId w:val="22"/>
  </w:num>
  <w:num w:numId="25">
    <w:abstractNumId w:val="16"/>
  </w:num>
  <w:num w:numId="26">
    <w:abstractNumId w:val="26"/>
  </w:num>
  <w:num w:numId="27">
    <w:abstractNumId w:val="5"/>
  </w:num>
  <w:num w:numId="28">
    <w:abstractNumId w:val="10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A3235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A323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A323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E1C0FB2-FECD-49EA-A01C-0563E9366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613</Words>
  <Characters>3500</Characters>
  <Application>Microsoft Office Word</Application>
  <DocSecurity>0</DocSecurity>
  <Lines>29</Lines>
  <Paragraphs>8</Paragraphs>
  <ScaleCrop>false</ScaleCrop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2026-08-04T18:55:00Z</dcterms:created>
  <dcterms:modified xsi:type="dcterms:W3CDTF">2026-08-04T18:55:00Z</dcterms:modified>
</cp:coreProperties>
</file>