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DE555AC" w:rsidR="0049405C" w:rsidRPr="00C24D79" w:rsidRDefault="007413F2" w:rsidP="007413F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413F2">
              <w:rPr>
                <w:rFonts w:ascii="等线" w:eastAsia="等线" w:hAnsi="Times New Roman"/>
                <w:b/>
                <w:color w:val="000000"/>
                <w:sz w:val="48"/>
              </w:rPr>
              <w:t>MENGJIE WANG</w:t>
            </w:r>
            <w:bookmarkEnd w:id="0"/>
          </w:p>
          <w:p w14:paraId="706EB16B" w14:textId="32146095" w:rsidR="0049405C" w:rsidRPr="00C24D79" w:rsidRDefault="007413F2" w:rsidP="007413F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413F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413F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413F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2C9F757" w:rsidR="0049405C" w:rsidRPr="00C24D79" w:rsidRDefault="007413F2" w:rsidP="007413F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413F2">
              <w:rPr>
                <w:rFonts w:ascii="等线" w:eastAsia="等线" w:hAnsi="Times New Roman"/>
                <w:color w:val="000000"/>
              </w:rPr>
              <w:t xml:space="preserve">+86 21 6263 5973 </w:t>
            </w:r>
            <w:bookmarkEnd w:id="3"/>
          </w:p>
          <w:p w14:paraId="4F910ACA" w14:textId="29229BD3" w:rsidR="0049405C" w:rsidRPr="00C24D79" w:rsidRDefault="007413F2" w:rsidP="007413F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413F2">
              <w:rPr>
                <w:rFonts w:ascii="等线" w:eastAsia="等线" w:hAnsi="Times New Roman"/>
                <w:color w:val="000000"/>
              </w:rPr>
              <w:t>Mengjie.wang@fangdalaw.com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C2A6CBB" w:rsidR="0049405C" w:rsidRPr="00C24D79" w:rsidRDefault="007413F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29A15DA" wp14:editId="548829B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FC0B19D" w:rsidR="009465FB" w:rsidRPr="00C24D79" w:rsidRDefault="007413F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413F2">
              <w:rPr>
                <w:rFonts w:ascii="等线" w:eastAsia="等线" w:hAnsi="Times New Roman"/>
                <w:color w:val="000000"/>
                <w:szCs w:val="21"/>
              </w:rPr>
              <w:t>MS. WANG SPECIALIZES IN CAPITAL MARKETS, IPO, M&amp;A, CORPORATE FINANCE, PRIVATE EQUITY INVESTMENT,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0A801F2" w14:textId="77777777" w:rsidR="007413F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3DCF4C0" w14:textId="77777777" w:rsidR="007413F2" w:rsidRDefault="007413F2" w:rsidP="007413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413F2">
        <w:rPr>
          <w:rFonts w:ascii="等线" w:eastAsia="等线" w:hAnsi="等线"/>
          <w:b/>
          <w:sz w:val="24"/>
        </w:rPr>
        <w:t>REPRESENTATIVE MATTERS AND CASES</w:t>
      </w:r>
    </w:p>
    <w:p w14:paraId="68A48A3F" w14:textId="77777777" w:rsidR="007413F2" w:rsidRDefault="007413F2" w:rsidP="007413F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1A430A4" w14:textId="77777777" w:rsidR="007413F2" w:rsidRDefault="007413F2" w:rsidP="007413F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Alibaba Group Holding in its investment in Meinian Onehealth Healthcare Holdings (002044.SZ)</w:t>
      </w:r>
    </w:p>
    <w:p w14:paraId="6C58AEBB" w14:textId="77777777" w:rsidR="007413F2" w:rsidRDefault="007413F2" w:rsidP="007413F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Guiyang Big Data Group in its bail-out deal Xunyou.com (300467.SZ)</w:t>
      </w:r>
    </w:p>
    <w:p w14:paraId="44B9827A" w14:textId="77777777" w:rsidR="007413F2" w:rsidRDefault="007413F2" w:rsidP="007413F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as independent financial advisor the Kaisa Group in its acquisition of a majority shareholding in Jiayun Technology (300242.SZ)</w:t>
      </w:r>
    </w:p>
    <w:p w14:paraId="3C4A01D7" w14:textId="77777777" w:rsidR="007413F2" w:rsidRDefault="007413F2" w:rsidP="007413F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Acted as independent financial advisor for the reorganization and A-share IPO of ArcSoft</w:t>
      </w:r>
    </w:p>
    <w:p w14:paraId="36110650" w14:textId="77777777" w:rsidR="007413F2" w:rsidRDefault="007413F2" w:rsidP="007413F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Acted as independent financial advisor for the red-chip and VIE structure collapse, pre-IPO financing and shareholding reform of Fanli.com</w:t>
      </w:r>
    </w:p>
    <w:p w14:paraId="332C141E" w14:textId="77777777" w:rsidR="007413F2" w:rsidRDefault="007413F2" w:rsidP="007413F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Acted as independent financial advisor for the back door listing of SF Express</w:t>
      </w:r>
    </w:p>
    <w:p w14:paraId="3A83EC44" w14:textId="77777777" w:rsidR="007413F2" w:rsidRDefault="007413F2" w:rsidP="007413F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Acted as independent financial advisor for the cross-border acquisition of the controlling stake of Global Switch (IDC assets) which constituted a major asset restructuring for Sha Steel</w:t>
      </w:r>
    </w:p>
    <w:p w14:paraId="54A7BED4" w14:textId="77777777" w:rsidR="007413F2" w:rsidRDefault="007413F2" w:rsidP="007413F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Alibaba Group Holding in its cross-shareholding deal with Suning (002024.SZ)</w:t>
      </w:r>
    </w:p>
    <w:p w14:paraId="1A2E0B75" w14:textId="77777777" w:rsidR="007413F2" w:rsidRDefault="007413F2" w:rsidP="007413F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Boyu Capital and other investors in Wuxi App</w:t>
      </w:r>
      <w:r w:rsidRPr="007413F2">
        <w:rPr>
          <w:rFonts w:ascii="等线" w:eastAsia="等线" w:hAnsi="Times New Roman"/>
          <w:color w:val="000000"/>
        </w:rPr>
        <w:t>’</w:t>
      </w:r>
      <w:r w:rsidRPr="007413F2">
        <w:rPr>
          <w:rFonts w:ascii="等线" w:eastAsia="等线" w:hAnsi="Times New Roman"/>
          <w:color w:val="000000"/>
        </w:rPr>
        <w:t>s privatization and reorganization</w:t>
      </w:r>
    </w:p>
    <w:p w14:paraId="45E24373" w14:textId="77777777" w:rsidR="007413F2" w:rsidRDefault="007413F2" w:rsidP="007413F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Acted for 99 bills in its red-chip and VIE structure collapse and reorganization</w:t>
      </w:r>
    </w:p>
    <w:p w14:paraId="7F3D1F79" w14:textId="77777777" w:rsidR="007413F2" w:rsidRDefault="007413F2" w:rsidP="007413F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Acted for the red-chip and VIE structure collapse and reorganization of Focus Media, completed over 13 billion in pre-IPO financing and its back door listing in A-share market</w:t>
      </w:r>
    </w:p>
    <w:p w14:paraId="6EA20CA1" w14:textId="77777777" w:rsidR="007413F2" w:rsidRDefault="007413F2" w:rsidP="007413F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Goldman Sachs in the Hong Kong IPO of H-Grace (1347.HK), a large red-chip company</w:t>
      </w:r>
    </w:p>
    <w:p w14:paraId="744CAAAF" w14:textId="77777777" w:rsidR="007413F2" w:rsidRDefault="007413F2" w:rsidP="007413F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DBS in the Singapore IPO of First Sponsor Group Limited (FSGL), a property company</w:t>
      </w:r>
    </w:p>
    <w:p w14:paraId="6D39F307" w14:textId="77777777" w:rsidR="007413F2" w:rsidRDefault="007413F2" w:rsidP="007413F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BOC International (China) Co., Ltd in CTS International Logistics Corporation Limited</w:t>
      </w:r>
      <w:r w:rsidRPr="007413F2">
        <w:rPr>
          <w:rFonts w:ascii="等线" w:eastAsia="等线" w:hAnsi="Times New Roman"/>
          <w:color w:val="000000"/>
        </w:rPr>
        <w:t>’</w:t>
      </w:r>
      <w:r w:rsidRPr="007413F2">
        <w:rPr>
          <w:rFonts w:ascii="等线" w:eastAsia="等线" w:hAnsi="Times New Roman"/>
          <w:color w:val="000000"/>
        </w:rPr>
        <w:t>s (603128.SH) A-share IPO</w:t>
      </w:r>
    </w:p>
    <w:p w14:paraId="72E5AAA8" w14:textId="77777777" w:rsidR="007413F2" w:rsidRDefault="007413F2" w:rsidP="007413F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Acted for China New Town Development (1278.HK) in its Hong Kong dual listing</w:t>
      </w:r>
    </w:p>
    <w:p w14:paraId="2400901E" w14:textId="77777777" w:rsidR="007413F2" w:rsidRDefault="007413F2" w:rsidP="007413F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Deutsche Bank in the bond issue and listing on the Singapore Exchange of Texhong (02678.HK)</w:t>
      </w:r>
    </w:p>
    <w:p w14:paraId="6D312E89" w14:textId="77777777" w:rsidR="007413F2" w:rsidRDefault="007413F2" w:rsidP="007413F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Baosteel Stainless in purchasing up to 10% shares in DMSSC (01090.HK)</w:t>
      </w:r>
    </w:p>
    <w:p w14:paraId="50425890" w14:textId="77777777" w:rsidR="007413F2" w:rsidRDefault="007413F2" w:rsidP="007413F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Acted for Zhuzhou Times New Material Technology Co., Ltd (600458.SHA) in its acquisition of auto parts assets from ZF Friedrichshafen AG, which acquisition constituted a major asset restructuring for Zhuzhou Times</w:t>
      </w:r>
    </w:p>
    <w:p w14:paraId="3865105B" w14:textId="77777777" w:rsidR="007413F2" w:rsidRDefault="007413F2" w:rsidP="007413F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FountainVest in its foreign strategic investment in KHB (002022.SHE)</w:t>
      </w:r>
    </w:p>
    <w:p w14:paraId="4857DAF4" w14:textId="77777777" w:rsidR="007413F2" w:rsidRDefault="007413F2" w:rsidP="007413F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More Fun Tek in ZQ Game</w:t>
      </w:r>
      <w:r w:rsidRPr="007413F2">
        <w:rPr>
          <w:rFonts w:ascii="等线" w:eastAsia="等线" w:hAnsi="Times New Roman"/>
          <w:color w:val="000000"/>
        </w:rPr>
        <w:t>’</w:t>
      </w:r>
      <w:r w:rsidRPr="007413F2">
        <w:rPr>
          <w:rFonts w:ascii="等线" w:eastAsia="等线" w:hAnsi="Times New Roman"/>
          <w:color w:val="000000"/>
        </w:rPr>
        <w:t>s (300052.SHE) acquisition, which constituted a major asset restructuring</w:t>
      </w:r>
    </w:p>
    <w:p w14:paraId="0DCD3E25" w14:textId="77777777" w:rsidR="007413F2" w:rsidRDefault="007413F2" w:rsidP="007413F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Boyu Capital in BesTV</w:t>
      </w:r>
      <w:r w:rsidRPr="007413F2">
        <w:rPr>
          <w:rFonts w:ascii="等线" w:eastAsia="等线" w:hAnsi="Times New Roman"/>
          <w:color w:val="000000"/>
        </w:rPr>
        <w:t>’</w:t>
      </w:r>
      <w:r w:rsidRPr="007413F2">
        <w:rPr>
          <w:rFonts w:ascii="等线" w:eastAsia="等线" w:hAnsi="Times New Roman"/>
          <w:color w:val="000000"/>
        </w:rPr>
        <w:t>s (600637.SH) merger and acquisition and major assets restructuring</w:t>
      </w:r>
    </w:p>
    <w:p w14:paraId="7C3A97B2" w14:textId="77777777" w:rsidR="007413F2" w:rsidRDefault="007413F2" w:rsidP="007413F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Zhongxi Pharmaceutical and Shanghai Industrial Pharmaceutical in their merger with Shanghai Pharmaceutical constituent major asset restructuring</w:t>
      </w:r>
    </w:p>
    <w:p w14:paraId="5ED5799E" w14:textId="77777777" w:rsidR="007413F2" w:rsidRDefault="007413F2" w:rsidP="007413F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ECCOM Network System in its reverse acquisition with East China Computer</w:t>
      </w:r>
    </w:p>
    <w:p w14:paraId="6931B71C" w14:textId="77777777" w:rsidR="007413F2" w:rsidRDefault="007413F2" w:rsidP="007413F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Qingdao Haier Investment Development in its acquisition with New York Insurance of 50% shares in Haier New York Insurance</w:t>
      </w:r>
    </w:p>
    <w:p w14:paraId="068FB9F1" w14:textId="77777777" w:rsidR="007413F2" w:rsidRDefault="007413F2" w:rsidP="007413F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Motel in its merger with HomeInn</w:t>
      </w:r>
    </w:p>
    <w:p w14:paraId="13B8AEFB" w14:textId="77777777" w:rsidR="007413F2" w:rsidRDefault="007413F2" w:rsidP="007413F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Represented Gaojia Solar in its merger with GCL-Poly (3800. HK)</w:t>
      </w:r>
    </w:p>
    <w:p w14:paraId="383214B5" w14:textId="77777777" w:rsidR="007413F2" w:rsidRDefault="007413F2" w:rsidP="007413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413F2">
        <w:rPr>
          <w:rFonts w:ascii="等线" w:eastAsia="等线" w:hAnsi="等线"/>
          <w:b/>
          <w:sz w:val="24"/>
        </w:rPr>
        <w:t>Education</w:t>
      </w:r>
    </w:p>
    <w:p w14:paraId="0565517C" w14:textId="77777777" w:rsidR="007413F2" w:rsidRDefault="007413F2" w:rsidP="007413F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East China University of Politic Science and Law, LL.B, 2006</w:t>
      </w:r>
    </w:p>
    <w:p w14:paraId="12DE7EC6" w14:textId="77777777" w:rsidR="007413F2" w:rsidRDefault="007413F2" w:rsidP="007413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413F2">
        <w:rPr>
          <w:rFonts w:ascii="等线" w:eastAsia="等线" w:hAnsi="等线"/>
          <w:b/>
          <w:sz w:val="24"/>
        </w:rPr>
        <w:t>Professional Qualification</w:t>
      </w:r>
    </w:p>
    <w:p w14:paraId="6CAFA988" w14:textId="77777777" w:rsidR="007413F2" w:rsidRDefault="007413F2" w:rsidP="007413F2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Admitted to practice in the PRC</w:t>
      </w:r>
    </w:p>
    <w:p w14:paraId="1AED054F" w14:textId="77777777" w:rsidR="007413F2" w:rsidRDefault="007413F2" w:rsidP="007413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413F2">
        <w:rPr>
          <w:rFonts w:ascii="等线" w:eastAsia="等线" w:hAnsi="等线"/>
          <w:b/>
          <w:sz w:val="24"/>
        </w:rPr>
        <w:t>Professional Background</w:t>
      </w:r>
    </w:p>
    <w:p w14:paraId="5567FC3C" w14:textId="77E9A97A" w:rsidR="00686369" w:rsidRPr="007413F2" w:rsidRDefault="007413F2" w:rsidP="007413F2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3F2">
        <w:rPr>
          <w:rFonts w:ascii="等线" w:eastAsia="等线" w:hAnsi="Times New Roman"/>
          <w:color w:val="000000"/>
        </w:rPr>
        <w:t>Ms. Wang has worked in capital markets since 2006. Ms. Wang rejoined Fangda as a partner in 2018. Before rejoining the firm as a partner, she practiced in Jingtian &amp; Gongcheng Law Firm, Fangda Partners, and IBD of Huatai United Securities, serving as the Director of TMT Industry. Ms. Wang has led and participated in a number of A-share market deals as a lawyer or a financial advisor.</w:t>
      </w:r>
    </w:p>
    <w:sectPr w:rsidR="00686369" w:rsidRPr="007413F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94F8C"/>
    <w:multiLevelType w:val="singleLevel"/>
    <w:tmpl w:val="6A744F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F71C6B"/>
    <w:multiLevelType w:val="singleLevel"/>
    <w:tmpl w:val="8A8A77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7E3B43"/>
    <w:multiLevelType w:val="singleLevel"/>
    <w:tmpl w:val="C0481A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0A3EFC"/>
    <w:multiLevelType w:val="singleLevel"/>
    <w:tmpl w:val="54BAF8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4C3577"/>
    <w:multiLevelType w:val="singleLevel"/>
    <w:tmpl w:val="B4CEF9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AD7CA0"/>
    <w:multiLevelType w:val="singleLevel"/>
    <w:tmpl w:val="D5D4D2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DF0231"/>
    <w:multiLevelType w:val="singleLevel"/>
    <w:tmpl w:val="E3CCC5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CA6CE1"/>
    <w:multiLevelType w:val="singleLevel"/>
    <w:tmpl w:val="11229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732193"/>
    <w:multiLevelType w:val="singleLevel"/>
    <w:tmpl w:val="3F1C7A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C61322E"/>
    <w:multiLevelType w:val="singleLevel"/>
    <w:tmpl w:val="3DC055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2BA3953"/>
    <w:multiLevelType w:val="singleLevel"/>
    <w:tmpl w:val="BA281A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6564F9E"/>
    <w:multiLevelType w:val="singleLevel"/>
    <w:tmpl w:val="D464A4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8E579FF"/>
    <w:multiLevelType w:val="singleLevel"/>
    <w:tmpl w:val="D9288B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BAD24F9"/>
    <w:multiLevelType w:val="singleLevel"/>
    <w:tmpl w:val="4282D8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FC3673D"/>
    <w:multiLevelType w:val="singleLevel"/>
    <w:tmpl w:val="740C76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31F3E3C"/>
    <w:multiLevelType w:val="singleLevel"/>
    <w:tmpl w:val="68F2A7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E4D21FE"/>
    <w:multiLevelType w:val="singleLevel"/>
    <w:tmpl w:val="B42CAD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977733E"/>
    <w:multiLevelType w:val="singleLevel"/>
    <w:tmpl w:val="0D20BF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B4364AD"/>
    <w:multiLevelType w:val="singleLevel"/>
    <w:tmpl w:val="49E42B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CE2256A"/>
    <w:multiLevelType w:val="singleLevel"/>
    <w:tmpl w:val="95D0F6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0364019"/>
    <w:multiLevelType w:val="singleLevel"/>
    <w:tmpl w:val="7B6A11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461276E"/>
    <w:multiLevelType w:val="singleLevel"/>
    <w:tmpl w:val="89FAC8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7852D09"/>
    <w:multiLevelType w:val="singleLevel"/>
    <w:tmpl w:val="B42CAD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8D2039C"/>
    <w:multiLevelType w:val="singleLevel"/>
    <w:tmpl w:val="A64A07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B3654FE"/>
    <w:multiLevelType w:val="singleLevel"/>
    <w:tmpl w:val="AAA4E3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BCB1754"/>
    <w:multiLevelType w:val="singleLevel"/>
    <w:tmpl w:val="F47E43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D883ED7"/>
    <w:multiLevelType w:val="singleLevel"/>
    <w:tmpl w:val="509870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27704B3"/>
    <w:multiLevelType w:val="singleLevel"/>
    <w:tmpl w:val="7438E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7584CB5"/>
    <w:multiLevelType w:val="singleLevel"/>
    <w:tmpl w:val="7152F2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9D357CD"/>
    <w:multiLevelType w:val="singleLevel"/>
    <w:tmpl w:val="A106F0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4"/>
  </w:num>
  <w:num w:numId="3">
    <w:abstractNumId w:val="20"/>
  </w:num>
  <w:num w:numId="4">
    <w:abstractNumId w:val="6"/>
  </w:num>
  <w:num w:numId="5">
    <w:abstractNumId w:val="12"/>
  </w:num>
  <w:num w:numId="6">
    <w:abstractNumId w:val="27"/>
  </w:num>
  <w:num w:numId="7">
    <w:abstractNumId w:val="2"/>
  </w:num>
  <w:num w:numId="8">
    <w:abstractNumId w:val="8"/>
  </w:num>
  <w:num w:numId="9">
    <w:abstractNumId w:val="28"/>
  </w:num>
  <w:num w:numId="10">
    <w:abstractNumId w:val="23"/>
  </w:num>
  <w:num w:numId="11">
    <w:abstractNumId w:val="3"/>
  </w:num>
  <w:num w:numId="12">
    <w:abstractNumId w:val="17"/>
  </w:num>
  <w:num w:numId="13">
    <w:abstractNumId w:val="26"/>
  </w:num>
  <w:num w:numId="14">
    <w:abstractNumId w:val="22"/>
  </w:num>
  <w:num w:numId="15">
    <w:abstractNumId w:val="13"/>
  </w:num>
  <w:num w:numId="16">
    <w:abstractNumId w:val="7"/>
  </w:num>
  <w:num w:numId="17">
    <w:abstractNumId w:val="11"/>
  </w:num>
  <w:num w:numId="18">
    <w:abstractNumId w:val="16"/>
  </w:num>
  <w:num w:numId="19">
    <w:abstractNumId w:val="15"/>
  </w:num>
  <w:num w:numId="20">
    <w:abstractNumId w:val="21"/>
  </w:num>
  <w:num w:numId="21">
    <w:abstractNumId w:val="30"/>
  </w:num>
  <w:num w:numId="22">
    <w:abstractNumId w:val="0"/>
  </w:num>
  <w:num w:numId="23">
    <w:abstractNumId w:val="9"/>
  </w:num>
  <w:num w:numId="24">
    <w:abstractNumId w:val="1"/>
  </w:num>
  <w:num w:numId="25">
    <w:abstractNumId w:val="31"/>
  </w:num>
  <w:num w:numId="26">
    <w:abstractNumId w:val="29"/>
  </w:num>
  <w:num w:numId="27">
    <w:abstractNumId w:val="25"/>
  </w:num>
  <w:num w:numId="28">
    <w:abstractNumId w:val="19"/>
  </w:num>
  <w:num w:numId="29">
    <w:abstractNumId w:val="5"/>
  </w:num>
  <w:num w:numId="30">
    <w:abstractNumId w:val="4"/>
  </w:num>
  <w:num w:numId="31">
    <w:abstractNumId w:val="24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413F2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413F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413F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FB060F4-F1F6-4209-926A-355C41E79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541</Words>
  <Characters>3088</Characters>
  <Application>Microsoft Office Word</Application>
  <DocSecurity>0</DocSecurity>
  <Lines>25</Lines>
  <Paragraphs>7</Paragraphs>
  <ScaleCrop>false</ScaleCrop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2026-08-04T18:55:00Z</dcterms:created>
  <dcterms:modified xsi:type="dcterms:W3CDTF">2026-08-04T18:55:00Z</dcterms:modified>
</cp:coreProperties>
</file>