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2C89DCC" w:rsidR="0049405C" w:rsidRPr="00C24D79" w:rsidRDefault="009528C4" w:rsidP="009528C4">
            <w:pPr>
              <w:spacing w:line="720" w:lineRule="auto"/>
              <w:rPr>
                <w:rFonts w:eastAsiaTheme="minorHAnsi"/>
                <w:color w:val="545551"/>
              </w:rPr>
            </w:pPr>
            <w:bookmarkStart w:id="0" w:name="xingming"/>
            <w:bookmarkStart w:id="1" w:name="_GoBack"/>
            <w:bookmarkEnd w:id="1"/>
            <w:r w:rsidRPr="009528C4">
              <w:rPr>
                <w:rFonts w:ascii="等线" w:eastAsia="等线" w:hAnsi="Times New Roman"/>
                <w:b/>
                <w:color w:val="000000"/>
                <w:sz w:val="48"/>
              </w:rPr>
              <w:t>MARK LEHMKUHLER</w:t>
            </w:r>
            <w:bookmarkEnd w:id="0"/>
          </w:p>
          <w:p w14:paraId="706EB16B" w14:textId="155A8D01" w:rsidR="0049405C" w:rsidRPr="00C24D79" w:rsidRDefault="009528C4" w:rsidP="009528C4">
            <w:pPr>
              <w:spacing w:line="360" w:lineRule="auto"/>
              <w:rPr>
                <w:rFonts w:eastAsiaTheme="minorHAnsi"/>
                <w:b/>
                <w:bCs/>
                <w:color w:val="545551"/>
              </w:rPr>
            </w:pPr>
            <w:bookmarkStart w:id="2" w:name="didian"/>
            <w:r w:rsidRPr="009528C4">
              <w:rPr>
                <w:rFonts w:ascii="等线" w:eastAsia="等线" w:hAnsi="Times New Roman"/>
                <w:b/>
                <w:bCs/>
                <w:color w:val="000000"/>
              </w:rPr>
              <w:t>Partner</w:t>
            </w:r>
            <w:r w:rsidRPr="009528C4">
              <w:rPr>
                <w:rFonts w:ascii="等线" w:eastAsia="等线" w:hAnsi="Times New Roman"/>
                <w:b/>
                <w:bCs/>
                <w:color w:val="000000"/>
              </w:rPr>
              <w:t>·</w:t>
            </w:r>
            <w:r w:rsidRPr="009528C4">
              <w:rPr>
                <w:rFonts w:ascii="等线" w:eastAsia="等线" w:hAnsi="Times New Roman"/>
                <w:b/>
                <w:bCs/>
                <w:color w:val="000000"/>
              </w:rPr>
              <w:t>Hong Kong</w:t>
            </w:r>
            <w:bookmarkEnd w:id="2"/>
          </w:p>
          <w:p w14:paraId="6199424A" w14:textId="4DE0166F" w:rsidR="0049405C" w:rsidRPr="00C24D79" w:rsidRDefault="009528C4" w:rsidP="009528C4">
            <w:pPr>
              <w:spacing w:line="360" w:lineRule="auto"/>
              <w:rPr>
                <w:rFonts w:eastAsiaTheme="minorHAnsi"/>
                <w:color w:val="545551"/>
              </w:rPr>
            </w:pPr>
            <w:bookmarkStart w:id="3" w:name="dianhua"/>
            <w:r w:rsidRPr="009528C4">
              <w:rPr>
                <w:rFonts w:ascii="等线" w:eastAsia="等线" w:hAnsi="Times New Roman"/>
                <w:color w:val="000000"/>
              </w:rPr>
              <w:t xml:space="preserve">+852 3749 1179 </w:t>
            </w:r>
            <w:bookmarkEnd w:id="3"/>
          </w:p>
          <w:p w14:paraId="4F910ACA" w14:textId="28C98D92" w:rsidR="0049405C" w:rsidRPr="00C24D79" w:rsidRDefault="009528C4" w:rsidP="009528C4">
            <w:pPr>
              <w:spacing w:line="360" w:lineRule="auto"/>
              <w:rPr>
                <w:rFonts w:eastAsiaTheme="minorHAnsi"/>
                <w:color w:val="000000"/>
              </w:rPr>
            </w:pPr>
            <w:bookmarkStart w:id="4" w:name="youxiang"/>
            <w:r w:rsidRPr="009528C4">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6092F1" w:rsidR="0049405C" w:rsidRPr="00C24D79" w:rsidRDefault="009528C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BF1D58E" wp14:editId="14C0280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748ED6F" w:rsidR="009465FB" w:rsidRPr="00C24D79" w:rsidRDefault="009528C4" w:rsidP="007177F3">
            <w:pPr>
              <w:rPr>
                <w:rFonts w:eastAsiaTheme="minorHAnsi"/>
                <w:color w:val="000000"/>
                <w:szCs w:val="21"/>
              </w:rPr>
            </w:pPr>
            <w:bookmarkStart w:id="6" w:name="zhiyelingyu"/>
            <w:r w:rsidRPr="009528C4">
              <w:rPr>
                <w:rFonts w:ascii="等线" w:eastAsia="等线" w:hAnsi="Times New Roman"/>
                <w:color w:val="000000"/>
                <w:szCs w:val="21"/>
              </w:rPr>
              <w:t>MR. LEHMKUHLER IS A PARTNER IN FANGDA</w:t>
            </w:r>
            <w:r w:rsidRPr="009528C4">
              <w:rPr>
                <w:rFonts w:ascii="等线" w:eastAsia="等线" w:hAnsi="Times New Roman"/>
                <w:color w:val="000000"/>
                <w:szCs w:val="21"/>
              </w:rPr>
              <w:t>’</w:t>
            </w:r>
            <w:r w:rsidRPr="009528C4">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F9A4BD" w14:textId="77777777" w:rsidR="009528C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90648D"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4FA41407"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65DE9919"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7FA0BB9A"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hint="eastAsia"/>
          <w:color w:val="000000"/>
        </w:rPr>
        <w:t>“…‘</w:t>
      </w:r>
      <w:r w:rsidRPr="009528C4">
        <w:rPr>
          <w:rFonts w:ascii="等线" w:eastAsia="等线" w:hAnsi="Times New Roman"/>
          <w:color w:val="000000"/>
        </w:rPr>
        <w:t>a high sense of integrity, creative and easy to work with, and provides advice that</w:t>
      </w:r>
      <w:r w:rsidRPr="009528C4">
        <w:rPr>
          <w:rFonts w:ascii="等线" w:eastAsia="等线" w:hAnsi="Times New Roman"/>
          <w:color w:val="000000"/>
        </w:rPr>
        <w:t>’</w:t>
      </w:r>
      <w:r w:rsidRPr="009528C4">
        <w:rPr>
          <w:rFonts w:ascii="等线" w:eastAsia="等线" w:hAnsi="Times New Roman"/>
          <w:color w:val="000000"/>
        </w:rPr>
        <w:t>s really actionable,</w:t>
      </w:r>
      <w:r w:rsidRPr="009528C4">
        <w:rPr>
          <w:rFonts w:ascii="等线" w:eastAsia="等线" w:hAnsi="Times New Roman"/>
          <w:color w:val="000000"/>
        </w:rPr>
        <w:t>’</w:t>
      </w:r>
      <w:r w:rsidRPr="009528C4">
        <w:rPr>
          <w:rFonts w:ascii="等线" w:eastAsia="等线" w:hAnsi="Times New Roman"/>
          <w:color w:val="000000"/>
        </w:rPr>
        <w:t xml:space="preserve"> report impressed clients.</w:t>
      </w:r>
      <w:r w:rsidRPr="009528C4">
        <w:rPr>
          <w:rFonts w:ascii="等线" w:eastAsia="等线" w:hAnsi="Times New Roman"/>
          <w:color w:val="000000"/>
        </w:rPr>
        <w:t>”</w:t>
      </w:r>
    </w:p>
    <w:p w14:paraId="667CB982"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hint="eastAsia"/>
          <w:color w:val="000000"/>
        </w:rPr>
        <w:t>“…‘</w:t>
      </w:r>
      <w:r w:rsidRPr="009528C4">
        <w:rPr>
          <w:rFonts w:ascii="等线" w:eastAsia="等线" w:hAnsi="Times New Roman"/>
          <w:color w:val="000000"/>
        </w:rPr>
        <w:t>among the smartest lawyers I have ever worked with,</w:t>
      </w:r>
      <w:r w:rsidRPr="009528C4">
        <w:rPr>
          <w:rFonts w:ascii="等线" w:eastAsia="等线" w:hAnsi="Times New Roman"/>
          <w:color w:val="000000"/>
        </w:rPr>
        <w:t>’</w:t>
      </w:r>
      <w:r w:rsidRPr="009528C4">
        <w:rPr>
          <w:rFonts w:ascii="等线" w:eastAsia="等线" w:hAnsi="Times New Roman"/>
          <w:color w:val="000000"/>
        </w:rPr>
        <w:t xml:space="preserve"> comments one interviewee</w:t>
      </w:r>
      <w:r w:rsidRPr="009528C4">
        <w:rPr>
          <w:rFonts w:ascii="等线" w:eastAsia="等线" w:hAnsi="Times New Roman"/>
          <w:color w:val="000000"/>
        </w:rPr>
        <w:t>…</w:t>
      </w:r>
      <w:r w:rsidRPr="009528C4">
        <w:rPr>
          <w:rFonts w:ascii="等线" w:eastAsia="等线" w:hAnsi="Times New Roman"/>
          <w:color w:val="000000"/>
        </w:rPr>
        <w:t>especially well regarded for his experience representing Asia-focused private equity funds making investments into Chinese market.</w:t>
      </w:r>
      <w:r w:rsidRPr="009528C4">
        <w:rPr>
          <w:rFonts w:ascii="等线" w:eastAsia="等线" w:hAnsi="Times New Roman"/>
          <w:color w:val="000000"/>
        </w:rPr>
        <w:t>”</w:t>
      </w:r>
    </w:p>
    <w:p w14:paraId="112F75FE"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hint="eastAsia"/>
          <w:color w:val="000000"/>
        </w:rPr>
        <w:t>“…</w:t>
      </w:r>
      <w:r w:rsidRPr="009528C4">
        <w:rPr>
          <w:rFonts w:ascii="等线" w:eastAsia="等线" w:hAnsi="Times New Roman"/>
          <w:color w:val="000000"/>
        </w:rPr>
        <w:t>very effective in head-to-head negotiations with other firms and principals, and finds very creative solutions to the difficult aspects of deals.</w:t>
      </w:r>
      <w:r w:rsidRPr="009528C4">
        <w:rPr>
          <w:rFonts w:ascii="等线" w:eastAsia="等线" w:hAnsi="Times New Roman"/>
          <w:color w:val="000000"/>
        </w:rPr>
        <w:t>”</w:t>
      </w:r>
    </w:p>
    <w:p w14:paraId="4E62D693"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hint="eastAsia"/>
          <w:color w:val="000000"/>
        </w:rPr>
        <w:t>“…</w:t>
      </w:r>
      <w:r w:rsidRPr="009528C4">
        <w:rPr>
          <w:rFonts w:ascii="等线" w:eastAsia="等线" w:hAnsi="Times New Roman"/>
          <w:color w:val="000000"/>
        </w:rPr>
        <w:t>held in high esteem by market sources</w:t>
      </w:r>
      <w:r w:rsidRPr="009528C4">
        <w:rPr>
          <w:rFonts w:ascii="等线" w:eastAsia="等线" w:hAnsi="Times New Roman"/>
          <w:color w:val="000000"/>
        </w:rPr>
        <w:t>…</w:t>
      </w:r>
      <w:r w:rsidRPr="009528C4">
        <w:rPr>
          <w:rFonts w:ascii="等线" w:eastAsia="等线" w:hAnsi="Times New Roman"/>
          <w:color w:val="000000"/>
        </w:rPr>
        <w:t xml:space="preserve"> </w:t>
      </w:r>
      <w:r w:rsidRPr="009528C4">
        <w:rPr>
          <w:rFonts w:ascii="等线" w:eastAsia="等线" w:hAnsi="Times New Roman"/>
          <w:color w:val="000000"/>
        </w:rPr>
        <w:t>‘</w:t>
      </w:r>
      <w:r w:rsidRPr="009528C4">
        <w:rPr>
          <w:rFonts w:ascii="等线" w:eastAsia="等线" w:hAnsi="Times New Roman"/>
          <w:color w:val="000000"/>
        </w:rPr>
        <w:t>commercial and hands-on when it comes to managing transactions</w:t>
      </w:r>
      <w:r w:rsidRPr="009528C4">
        <w:rPr>
          <w:rFonts w:ascii="等线" w:eastAsia="等线" w:hAnsi="Times New Roman"/>
          <w:color w:val="000000"/>
        </w:rPr>
        <w:t>’</w:t>
      </w:r>
      <w:r w:rsidRPr="009528C4">
        <w:rPr>
          <w:rFonts w:ascii="等线" w:eastAsia="等线" w:hAnsi="Times New Roman"/>
          <w:color w:val="000000"/>
        </w:rPr>
        <w:t>.</w:t>
      </w:r>
      <w:r w:rsidRPr="009528C4">
        <w:rPr>
          <w:rFonts w:ascii="等线" w:eastAsia="等线" w:hAnsi="Times New Roman"/>
          <w:color w:val="000000"/>
        </w:rPr>
        <w:t>”</w:t>
      </w:r>
    </w:p>
    <w:p w14:paraId="6D3782FF"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hint="eastAsia"/>
          <w:color w:val="000000"/>
        </w:rPr>
        <w:t>“…</w:t>
      </w:r>
      <w:r w:rsidRPr="009528C4">
        <w:rPr>
          <w:rFonts w:ascii="等线" w:eastAsia="等线" w:hAnsi="Times New Roman"/>
          <w:color w:val="000000"/>
        </w:rPr>
        <w:t xml:space="preserve"> a fine balance between Wall Street and Asia</w:t>
      </w:r>
      <w:r w:rsidRPr="009528C4">
        <w:rPr>
          <w:rFonts w:ascii="等线" w:eastAsia="等线" w:hAnsi="Times New Roman"/>
          <w:color w:val="000000"/>
        </w:rPr>
        <w:t>…</w:t>
      </w:r>
      <w:r w:rsidRPr="009528C4">
        <w:rPr>
          <w:rFonts w:ascii="等线" w:eastAsia="等线" w:hAnsi="Times New Roman"/>
          <w:color w:val="000000"/>
        </w:rPr>
        <w:t xml:space="preserve"> client-friendly and very effective.</w:t>
      </w:r>
      <w:r w:rsidRPr="009528C4">
        <w:rPr>
          <w:rFonts w:ascii="等线" w:eastAsia="等线" w:hAnsi="Times New Roman"/>
          <w:color w:val="000000"/>
        </w:rPr>
        <w:t>”</w:t>
      </w:r>
    </w:p>
    <w:p w14:paraId="6F12401C" w14:textId="77777777" w:rsidR="009528C4" w:rsidRDefault="009528C4" w:rsidP="009528C4">
      <w:pPr>
        <w:pStyle w:val="af5"/>
        <w:spacing w:before="120"/>
        <w:rPr>
          <w:rFonts w:ascii="等线" w:eastAsia="等线" w:hAnsi="Times New Roman"/>
          <w:color w:val="000000"/>
        </w:rPr>
      </w:pPr>
      <w:r w:rsidRPr="009528C4">
        <w:rPr>
          <w:rFonts w:ascii="等线" w:eastAsia="等线" w:hAnsi="Times New Roman" w:hint="eastAsia"/>
          <w:color w:val="000000"/>
        </w:rPr>
        <w:t>“…‘</w:t>
      </w:r>
      <w:r w:rsidRPr="009528C4">
        <w:rPr>
          <w:rFonts w:ascii="等线" w:eastAsia="等线" w:hAnsi="Times New Roman"/>
          <w:color w:val="000000"/>
        </w:rPr>
        <w:t>a very detail-oriented and focused lawyer</w:t>
      </w:r>
      <w:r w:rsidRPr="009528C4">
        <w:rPr>
          <w:rFonts w:ascii="等线" w:eastAsia="等线" w:hAnsi="Times New Roman"/>
          <w:color w:val="000000"/>
        </w:rPr>
        <w:t>’…</w:t>
      </w:r>
      <w:r w:rsidRPr="009528C4">
        <w:rPr>
          <w:rFonts w:ascii="等线" w:eastAsia="等线" w:hAnsi="Times New Roman"/>
          <w:color w:val="000000"/>
        </w:rPr>
        <w:t xml:space="preserve"> admired for his experience in cross-border M&amp;A.</w:t>
      </w:r>
      <w:r w:rsidRPr="009528C4">
        <w:rPr>
          <w:rFonts w:ascii="等线" w:eastAsia="等线" w:hAnsi="Times New Roman"/>
          <w:color w:val="000000"/>
        </w:rPr>
        <w:t>”</w:t>
      </w:r>
    </w:p>
    <w:p w14:paraId="7D5CCD55" w14:textId="77777777" w:rsidR="009528C4" w:rsidRDefault="009528C4" w:rsidP="009528C4">
      <w:pPr>
        <w:pStyle w:val="af5"/>
        <w:spacing w:after="0" w:line="480" w:lineRule="auto"/>
        <w:rPr>
          <w:rFonts w:ascii="等线" w:eastAsia="等线" w:hAnsi="等线"/>
          <w:b/>
          <w:sz w:val="24"/>
        </w:rPr>
      </w:pPr>
      <w:r w:rsidRPr="009528C4">
        <w:rPr>
          <w:rFonts w:ascii="等线" w:eastAsia="等线" w:hAnsi="等线"/>
          <w:b/>
          <w:sz w:val="24"/>
        </w:rPr>
        <w:t>REPRESENTATIVE MATTERS AND CASES</w:t>
      </w:r>
    </w:p>
    <w:p w14:paraId="295D1900" w14:textId="77777777" w:rsidR="009528C4" w:rsidRDefault="009528C4" w:rsidP="009528C4">
      <w:pPr>
        <w:pStyle w:val="af5"/>
        <w:spacing w:before="120"/>
        <w:rPr>
          <w:rFonts w:ascii="等线" w:eastAsia="等线" w:hAnsi="Times New Roman"/>
          <w:color w:val="000000"/>
        </w:rPr>
      </w:pPr>
    </w:p>
    <w:p w14:paraId="65FF1B6E" w14:textId="77777777" w:rsidR="009528C4" w:rsidRDefault="009528C4" w:rsidP="009528C4">
      <w:pPr>
        <w:pStyle w:val="af5"/>
        <w:numPr>
          <w:ilvl w:val="0"/>
          <w:numId w:val="1"/>
        </w:numPr>
        <w:spacing w:before="120"/>
        <w:ind w:left="690" w:hanging="240"/>
        <w:rPr>
          <w:rFonts w:ascii="等线" w:eastAsia="等线" w:hAnsi="Times New Roman"/>
          <w:color w:val="000000"/>
        </w:rPr>
      </w:pPr>
      <w:r w:rsidRPr="009528C4">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339F0431" w14:textId="77777777" w:rsidR="009528C4" w:rsidRDefault="009528C4" w:rsidP="009528C4">
      <w:pPr>
        <w:pStyle w:val="af5"/>
        <w:numPr>
          <w:ilvl w:val="0"/>
          <w:numId w:val="2"/>
        </w:numPr>
        <w:spacing w:before="120"/>
        <w:ind w:left="690" w:hanging="240"/>
        <w:rPr>
          <w:rFonts w:ascii="等线" w:eastAsia="等线" w:hAnsi="Times New Roman"/>
          <w:color w:val="000000"/>
        </w:rPr>
      </w:pPr>
      <w:r w:rsidRPr="009528C4">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6D2ED9C4" w14:textId="77777777" w:rsidR="009528C4" w:rsidRDefault="009528C4" w:rsidP="009528C4">
      <w:pPr>
        <w:pStyle w:val="af5"/>
        <w:numPr>
          <w:ilvl w:val="0"/>
          <w:numId w:val="3"/>
        </w:numPr>
        <w:spacing w:before="120"/>
        <w:ind w:left="690" w:hanging="240"/>
        <w:rPr>
          <w:rFonts w:ascii="等线" w:eastAsia="等线" w:hAnsi="Times New Roman"/>
          <w:color w:val="000000"/>
        </w:rPr>
      </w:pPr>
      <w:r w:rsidRPr="009528C4">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0579E9DF" w14:textId="77777777" w:rsidR="009528C4" w:rsidRDefault="009528C4" w:rsidP="009528C4">
      <w:pPr>
        <w:pStyle w:val="af5"/>
        <w:numPr>
          <w:ilvl w:val="0"/>
          <w:numId w:val="4"/>
        </w:numPr>
        <w:spacing w:before="120"/>
        <w:ind w:left="690" w:hanging="240"/>
        <w:rPr>
          <w:rFonts w:ascii="等线" w:eastAsia="等线" w:hAnsi="Times New Roman"/>
          <w:color w:val="000000"/>
        </w:rPr>
      </w:pPr>
      <w:r w:rsidRPr="009528C4">
        <w:rPr>
          <w:rFonts w:ascii="等线" w:eastAsia="等线" w:hAnsi="Times New Roman"/>
          <w:color w:val="000000"/>
        </w:rPr>
        <w:t>CITIC Capital in its US$3.7 billion going-private acquisition of Nasdaq-listed Focus Media, China</w:t>
      </w:r>
      <w:r w:rsidRPr="009528C4">
        <w:rPr>
          <w:rFonts w:ascii="等线" w:eastAsia="等线" w:hAnsi="Times New Roman"/>
          <w:color w:val="000000"/>
        </w:rPr>
        <w:t>’</w:t>
      </w:r>
      <w:r w:rsidRPr="009528C4">
        <w:rPr>
          <w:rFonts w:ascii="等线" w:eastAsia="等线" w:hAnsi="Times New Roman"/>
          <w:color w:val="000000"/>
        </w:rPr>
        <w:t>s largest interactive digital media network</w:t>
      </w:r>
    </w:p>
    <w:p w14:paraId="5E30035C" w14:textId="77777777" w:rsidR="009528C4" w:rsidRDefault="009528C4" w:rsidP="009528C4">
      <w:pPr>
        <w:pStyle w:val="af5"/>
        <w:numPr>
          <w:ilvl w:val="0"/>
          <w:numId w:val="5"/>
        </w:numPr>
        <w:spacing w:before="120"/>
        <w:ind w:left="690" w:hanging="240"/>
        <w:rPr>
          <w:rFonts w:ascii="等线" w:eastAsia="等线" w:hAnsi="Times New Roman"/>
          <w:color w:val="000000"/>
        </w:rPr>
      </w:pPr>
      <w:r w:rsidRPr="009528C4">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28991810" w14:textId="77777777" w:rsidR="009528C4" w:rsidRDefault="009528C4" w:rsidP="009528C4">
      <w:pPr>
        <w:pStyle w:val="af5"/>
        <w:numPr>
          <w:ilvl w:val="0"/>
          <w:numId w:val="6"/>
        </w:numPr>
        <w:spacing w:before="120"/>
        <w:ind w:left="690" w:hanging="240"/>
        <w:rPr>
          <w:rFonts w:ascii="等线" w:eastAsia="等线" w:hAnsi="Times New Roman"/>
          <w:color w:val="000000"/>
        </w:rPr>
      </w:pPr>
      <w:r w:rsidRPr="009528C4">
        <w:rPr>
          <w:rFonts w:ascii="等线" w:eastAsia="等线" w:hAnsi="Times New Roman"/>
          <w:color w:val="000000"/>
        </w:rPr>
        <w:t>Shanda Interactive Entertainment, a leading Nasdaq-listed Chinese interactive media company, in its US$2.3 billion going-private transaction</w:t>
      </w:r>
    </w:p>
    <w:p w14:paraId="47D818F1" w14:textId="77777777" w:rsidR="009528C4" w:rsidRDefault="009528C4" w:rsidP="009528C4">
      <w:pPr>
        <w:pStyle w:val="af5"/>
        <w:numPr>
          <w:ilvl w:val="0"/>
          <w:numId w:val="7"/>
        </w:numPr>
        <w:spacing w:before="120"/>
        <w:ind w:left="690" w:hanging="240"/>
        <w:rPr>
          <w:rFonts w:ascii="等线" w:eastAsia="等线" w:hAnsi="Times New Roman"/>
          <w:color w:val="000000"/>
        </w:rPr>
      </w:pPr>
      <w:r w:rsidRPr="009528C4">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5D52553D" w14:textId="77777777" w:rsidR="009528C4" w:rsidRDefault="009528C4" w:rsidP="009528C4">
      <w:pPr>
        <w:pStyle w:val="af5"/>
        <w:numPr>
          <w:ilvl w:val="0"/>
          <w:numId w:val="8"/>
        </w:numPr>
        <w:spacing w:before="120"/>
        <w:ind w:left="690" w:hanging="240"/>
        <w:rPr>
          <w:rFonts w:ascii="等线" w:eastAsia="等线" w:hAnsi="Times New Roman"/>
          <w:color w:val="000000"/>
        </w:rPr>
      </w:pPr>
      <w:r w:rsidRPr="009528C4">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31B3BF98" w14:textId="77777777" w:rsidR="009528C4" w:rsidRDefault="009528C4" w:rsidP="009528C4">
      <w:pPr>
        <w:pStyle w:val="af5"/>
        <w:numPr>
          <w:ilvl w:val="0"/>
          <w:numId w:val="9"/>
        </w:numPr>
        <w:spacing w:before="120"/>
        <w:ind w:left="690" w:hanging="240"/>
        <w:rPr>
          <w:rFonts w:ascii="等线" w:eastAsia="等线" w:hAnsi="Times New Roman"/>
          <w:color w:val="000000"/>
        </w:rPr>
      </w:pPr>
      <w:r w:rsidRPr="009528C4">
        <w:rPr>
          <w:rFonts w:ascii="等线" w:eastAsia="等线" w:hAnsi="Times New Roman"/>
          <w:color w:val="000000"/>
        </w:rPr>
        <w:t>CNOOC Limited in its US$18.5 billion proposed acquisition of Unocal</w:t>
      </w:r>
    </w:p>
    <w:p w14:paraId="3A2518C9" w14:textId="77777777" w:rsidR="009528C4" w:rsidRDefault="009528C4" w:rsidP="009528C4">
      <w:pPr>
        <w:pStyle w:val="af5"/>
        <w:numPr>
          <w:ilvl w:val="0"/>
          <w:numId w:val="10"/>
        </w:numPr>
        <w:spacing w:before="120"/>
        <w:ind w:left="690" w:hanging="240"/>
        <w:rPr>
          <w:rFonts w:ascii="等线" w:eastAsia="等线" w:hAnsi="Times New Roman"/>
          <w:color w:val="000000"/>
        </w:rPr>
      </w:pPr>
      <w:r w:rsidRPr="009528C4">
        <w:rPr>
          <w:rFonts w:ascii="等线" w:eastAsia="等线" w:hAnsi="Times New Roman"/>
          <w:color w:val="000000"/>
        </w:rPr>
        <w:t>ICBC in its strategic sale of a 10% stake for US$3.8 billion to Goldman Sachs, Allianz and American Express</w:t>
      </w:r>
    </w:p>
    <w:p w14:paraId="1DD45149" w14:textId="77777777" w:rsidR="009528C4" w:rsidRDefault="009528C4" w:rsidP="009528C4">
      <w:pPr>
        <w:pStyle w:val="af5"/>
        <w:numPr>
          <w:ilvl w:val="0"/>
          <w:numId w:val="11"/>
        </w:numPr>
        <w:spacing w:before="120"/>
        <w:ind w:left="690" w:hanging="240"/>
        <w:rPr>
          <w:rFonts w:ascii="等线" w:eastAsia="等线" w:hAnsi="Times New Roman"/>
          <w:color w:val="000000"/>
        </w:rPr>
      </w:pPr>
      <w:r w:rsidRPr="009528C4">
        <w:rPr>
          <w:rFonts w:ascii="等线" w:eastAsia="等线" w:hAnsi="Times New Roman"/>
          <w:color w:val="000000"/>
        </w:rPr>
        <w:t>China Resources in connection with various investments including in the semiconductor and healthcare sectors</w:t>
      </w:r>
    </w:p>
    <w:p w14:paraId="13352925" w14:textId="77777777" w:rsidR="009528C4" w:rsidRDefault="009528C4" w:rsidP="009528C4">
      <w:pPr>
        <w:pStyle w:val="af5"/>
        <w:numPr>
          <w:ilvl w:val="0"/>
          <w:numId w:val="12"/>
        </w:numPr>
        <w:spacing w:before="120"/>
        <w:ind w:left="690" w:hanging="240"/>
        <w:rPr>
          <w:rFonts w:ascii="等线" w:eastAsia="等线" w:hAnsi="Times New Roman"/>
          <w:color w:val="000000"/>
        </w:rPr>
      </w:pPr>
      <w:r w:rsidRPr="009528C4">
        <w:rPr>
          <w:rFonts w:ascii="等线" w:eastAsia="等线" w:hAnsi="Times New Roman"/>
          <w:color w:val="000000"/>
        </w:rPr>
        <w:t>Advanced Semiconductor Engineering (ASE), the world</w:t>
      </w:r>
      <w:r w:rsidRPr="009528C4">
        <w:rPr>
          <w:rFonts w:ascii="等线" w:eastAsia="等线" w:hAnsi="Times New Roman"/>
          <w:color w:val="000000"/>
        </w:rPr>
        <w:t>’</w:t>
      </w:r>
      <w:r w:rsidRPr="009528C4">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9528C4">
        <w:rPr>
          <w:rFonts w:ascii="等线" w:eastAsia="等线" w:hAnsi="Times New Roman"/>
          <w:color w:val="000000"/>
        </w:rPr>
        <w:t>’</w:t>
      </w:r>
      <w:r w:rsidRPr="009528C4">
        <w:rPr>
          <w:rFonts w:ascii="等线" w:eastAsia="等线" w:hAnsi="Times New Roman"/>
          <w:color w:val="000000"/>
        </w:rPr>
        <w:t>s 40% stake in Suzhou ASEN Semiconductors</w:t>
      </w:r>
    </w:p>
    <w:p w14:paraId="2A0B0C83" w14:textId="77777777" w:rsidR="009528C4" w:rsidRDefault="009528C4" w:rsidP="009528C4">
      <w:pPr>
        <w:pStyle w:val="af5"/>
        <w:numPr>
          <w:ilvl w:val="0"/>
          <w:numId w:val="13"/>
        </w:numPr>
        <w:spacing w:before="120"/>
        <w:ind w:left="690" w:hanging="240"/>
        <w:rPr>
          <w:rFonts w:ascii="等线" w:eastAsia="等线" w:hAnsi="Times New Roman"/>
          <w:color w:val="000000"/>
        </w:rPr>
      </w:pPr>
      <w:r w:rsidRPr="009528C4">
        <w:rPr>
          <w:rFonts w:ascii="等线" w:eastAsia="等线" w:hAnsi="Times New Roman"/>
          <w:color w:val="000000"/>
        </w:rPr>
        <w:t>JD.com in its US$115 million strategic investment in HKSE-listed China Logistics Property, one of the largest logistics companies in the PRC</w:t>
      </w:r>
    </w:p>
    <w:p w14:paraId="2819576C" w14:textId="77777777" w:rsidR="009528C4" w:rsidRDefault="009528C4" w:rsidP="009528C4">
      <w:pPr>
        <w:pStyle w:val="af5"/>
        <w:numPr>
          <w:ilvl w:val="0"/>
          <w:numId w:val="14"/>
        </w:numPr>
        <w:spacing w:before="120"/>
        <w:ind w:left="690" w:hanging="240"/>
        <w:rPr>
          <w:rFonts w:ascii="等线" w:eastAsia="等线" w:hAnsi="Times New Roman"/>
          <w:color w:val="000000"/>
        </w:rPr>
      </w:pPr>
      <w:r w:rsidRPr="009528C4">
        <w:rPr>
          <w:rFonts w:ascii="等线" w:eastAsia="等线" w:hAnsi="Times New Roman"/>
          <w:color w:val="000000"/>
        </w:rPr>
        <w:t>Affinity Equity Partners in its investment in a Chinese dairy joint venture with Beijing Capital Agribusiness Group</w:t>
      </w:r>
    </w:p>
    <w:p w14:paraId="4D71E60D" w14:textId="77777777" w:rsidR="009528C4" w:rsidRDefault="009528C4" w:rsidP="009528C4">
      <w:pPr>
        <w:pStyle w:val="af5"/>
        <w:numPr>
          <w:ilvl w:val="0"/>
          <w:numId w:val="15"/>
        </w:numPr>
        <w:spacing w:before="120"/>
        <w:ind w:left="690" w:hanging="240"/>
        <w:rPr>
          <w:rFonts w:ascii="等线" w:eastAsia="等线" w:hAnsi="Times New Roman"/>
          <w:color w:val="000000"/>
        </w:rPr>
      </w:pPr>
      <w:r w:rsidRPr="009528C4">
        <w:rPr>
          <w:rFonts w:ascii="等线" w:eastAsia="等线" w:hAnsi="Times New Roman"/>
          <w:color w:val="000000"/>
        </w:rPr>
        <w:t>Samena Capital and Cenova Capital in their US$83 million investment in Virtus Medical Holdings, a premium healthcare platform in Hong Kong</w:t>
      </w:r>
    </w:p>
    <w:p w14:paraId="3F57C520" w14:textId="77777777" w:rsidR="009528C4" w:rsidRDefault="009528C4" w:rsidP="009528C4">
      <w:pPr>
        <w:pStyle w:val="af5"/>
        <w:numPr>
          <w:ilvl w:val="0"/>
          <w:numId w:val="16"/>
        </w:numPr>
        <w:spacing w:before="120"/>
        <w:ind w:left="690" w:hanging="240"/>
        <w:rPr>
          <w:rFonts w:ascii="等线" w:eastAsia="等线" w:hAnsi="Times New Roman"/>
          <w:color w:val="000000"/>
        </w:rPr>
      </w:pPr>
      <w:r w:rsidRPr="009528C4">
        <w:rPr>
          <w:rFonts w:ascii="等线" w:eastAsia="等线" w:hAnsi="Times New Roman"/>
          <w:color w:val="000000"/>
        </w:rPr>
        <w:t>The special committee of NYSE-listed China Hydroelectric Corporation in connection with its going-private acquisition by NewQuest Capital Partners</w:t>
      </w:r>
    </w:p>
    <w:p w14:paraId="3DF8AD9A" w14:textId="77777777" w:rsidR="009528C4" w:rsidRDefault="009528C4" w:rsidP="009528C4">
      <w:pPr>
        <w:pStyle w:val="af5"/>
        <w:numPr>
          <w:ilvl w:val="0"/>
          <w:numId w:val="17"/>
        </w:numPr>
        <w:spacing w:before="120"/>
        <w:ind w:left="690" w:hanging="240"/>
        <w:rPr>
          <w:rFonts w:ascii="等线" w:eastAsia="等线" w:hAnsi="Times New Roman"/>
          <w:color w:val="000000"/>
        </w:rPr>
      </w:pPr>
      <w:r w:rsidRPr="009528C4">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7D988695" w14:textId="77777777" w:rsidR="009528C4" w:rsidRDefault="009528C4" w:rsidP="009528C4">
      <w:pPr>
        <w:pStyle w:val="af5"/>
        <w:numPr>
          <w:ilvl w:val="0"/>
          <w:numId w:val="18"/>
        </w:numPr>
        <w:spacing w:before="120"/>
        <w:ind w:left="690" w:hanging="240"/>
        <w:rPr>
          <w:rFonts w:ascii="等线" w:eastAsia="等线" w:hAnsi="Times New Roman"/>
          <w:color w:val="000000"/>
        </w:rPr>
      </w:pPr>
      <w:r w:rsidRPr="009528C4">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9528C4">
        <w:rPr>
          <w:rFonts w:ascii="等线" w:eastAsia="等线" w:hAnsi="Times New Roman"/>
          <w:color w:val="000000"/>
        </w:rPr>
        <w:t>’</w:t>
      </w:r>
      <w:r w:rsidRPr="009528C4">
        <w:rPr>
          <w:rFonts w:ascii="等线" w:eastAsia="等线" w:hAnsi="Times New Roman"/>
          <w:color w:val="000000"/>
        </w:rPr>
        <w:t>s greenfield manufacturing and R&amp;D joint venture in China</w:t>
      </w:r>
    </w:p>
    <w:p w14:paraId="6AA777CB" w14:textId="77777777" w:rsidR="009528C4" w:rsidRDefault="009528C4" w:rsidP="009528C4">
      <w:pPr>
        <w:pStyle w:val="af5"/>
        <w:numPr>
          <w:ilvl w:val="0"/>
          <w:numId w:val="19"/>
        </w:numPr>
        <w:spacing w:before="120"/>
        <w:ind w:left="690" w:hanging="240"/>
        <w:rPr>
          <w:rFonts w:ascii="等线" w:eastAsia="等线" w:hAnsi="Times New Roman"/>
          <w:color w:val="000000"/>
        </w:rPr>
      </w:pPr>
      <w:r w:rsidRPr="009528C4">
        <w:rPr>
          <w:rFonts w:ascii="等线" w:eastAsia="等线" w:hAnsi="Times New Roman"/>
          <w:color w:val="000000"/>
        </w:rPr>
        <w:t>OptAsia Healthcare, a Hong Kong-based healthcare technology firm, in its joint venture with Nasdaq-listed Soleno Therapeutics</w:t>
      </w:r>
    </w:p>
    <w:p w14:paraId="68F048C1" w14:textId="77777777" w:rsidR="009528C4" w:rsidRDefault="009528C4" w:rsidP="009528C4">
      <w:pPr>
        <w:pStyle w:val="af5"/>
        <w:numPr>
          <w:ilvl w:val="0"/>
          <w:numId w:val="20"/>
        </w:numPr>
        <w:spacing w:before="120"/>
        <w:ind w:left="690" w:hanging="240"/>
        <w:rPr>
          <w:rFonts w:ascii="等线" w:eastAsia="等线" w:hAnsi="Times New Roman"/>
          <w:color w:val="000000"/>
        </w:rPr>
      </w:pPr>
      <w:r w:rsidRPr="009528C4">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6751F47D" w14:textId="77777777" w:rsidR="009528C4" w:rsidRDefault="009528C4" w:rsidP="009528C4">
      <w:pPr>
        <w:pStyle w:val="af5"/>
        <w:numPr>
          <w:ilvl w:val="0"/>
          <w:numId w:val="21"/>
        </w:numPr>
        <w:spacing w:before="120"/>
        <w:ind w:left="690" w:hanging="240"/>
        <w:rPr>
          <w:rFonts w:ascii="等线" w:eastAsia="等线" w:hAnsi="Times New Roman"/>
          <w:color w:val="000000"/>
        </w:rPr>
      </w:pPr>
      <w:r w:rsidRPr="009528C4">
        <w:rPr>
          <w:rFonts w:ascii="等线" w:eastAsia="等线" w:hAnsi="Times New Roman"/>
          <w:color w:val="000000"/>
        </w:rPr>
        <w:t>Credit Suisse in its investment in China Renaissance Capital Investment, a leading PRC-focused private equity firm</w:t>
      </w:r>
    </w:p>
    <w:p w14:paraId="68FFEADE" w14:textId="77777777" w:rsidR="009528C4" w:rsidRDefault="009528C4" w:rsidP="009528C4">
      <w:pPr>
        <w:pStyle w:val="af5"/>
        <w:numPr>
          <w:ilvl w:val="0"/>
          <w:numId w:val="22"/>
        </w:numPr>
        <w:spacing w:before="120"/>
        <w:ind w:left="690" w:hanging="240"/>
        <w:rPr>
          <w:rFonts w:ascii="等线" w:eastAsia="等线" w:hAnsi="Times New Roman"/>
          <w:color w:val="000000"/>
        </w:rPr>
      </w:pPr>
      <w:r w:rsidRPr="009528C4">
        <w:rPr>
          <w:rFonts w:ascii="等线" w:eastAsia="等线" w:hAnsi="Times New Roman"/>
          <w:color w:val="000000"/>
        </w:rPr>
        <w:t>Goldman Sachs in its investments in a series of private equity funds managed by HONY Capital</w:t>
      </w:r>
    </w:p>
    <w:p w14:paraId="34A3C9E1" w14:textId="77777777" w:rsidR="009528C4" w:rsidRDefault="009528C4" w:rsidP="009528C4">
      <w:pPr>
        <w:pStyle w:val="af5"/>
        <w:numPr>
          <w:ilvl w:val="0"/>
          <w:numId w:val="23"/>
        </w:numPr>
        <w:spacing w:before="120"/>
        <w:ind w:left="690" w:hanging="240"/>
        <w:rPr>
          <w:rFonts w:ascii="等线" w:eastAsia="等线" w:hAnsi="Times New Roman"/>
          <w:color w:val="000000"/>
        </w:rPr>
      </w:pPr>
      <w:r w:rsidRPr="009528C4">
        <w:rPr>
          <w:rFonts w:ascii="等线" w:eastAsia="等线" w:hAnsi="Times New Roman"/>
          <w:color w:val="000000"/>
        </w:rPr>
        <w:t>Morgan Stanley Infrastructure Partners in several private equity investments in China and India</w:t>
      </w:r>
    </w:p>
    <w:p w14:paraId="7F4E3974" w14:textId="77777777" w:rsidR="009528C4" w:rsidRDefault="009528C4" w:rsidP="009528C4">
      <w:pPr>
        <w:pStyle w:val="af5"/>
        <w:numPr>
          <w:ilvl w:val="0"/>
          <w:numId w:val="24"/>
        </w:numPr>
        <w:spacing w:before="120"/>
        <w:ind w:left="690" w:hanging="240"/>
        <w:rPr>
          <w:rFonts w:ascii="等线" w:eastAsia="等线" w:hAnsi="Times New Roman"/>
          <w:color w:val="000000"/>
        </w:rPr>
      </w:pPr>
      <w:r w:rsidRPr="009528C4">
        <w:rPr>
          <w:rFonts w:ascii="等线" w:eastAsia="等线" w:hAnsi="Times New Roman"/>
          <w:color w:val="000000"/>
        </w:rPr>
        <w:t>Nike in its acquisition of Umbro</w:t>
      </w:r>
      <w:r w:rsidRPr="009528C4">
        <w:rPr>
          <w:rFonts w:ascii="等线" w:eastAsia="等线" w:hAnsi="Times New Roman"/>
          <w:color w:val="000000"/>
        </w:rPr>
        <w:t>’</w:t>
      </w:r>
      <w:r w:rsidRPr="009528C4">
        <w:rPr>
          <w:rFonts w:ascii="等线" w:eastAsia="等线" w:hAnsi="Times New Roman"/>
          <w:color w:val="000000"/>
        </w:rPr>
        <w:t>s China distribution business</w:t>
      </w:r>
    </w:p>
    <w:p w14:paraId="13313A3C" w14:textId="77777777" w:rsidR="009528C4" w:rsidRDefault="009528C4" w:rsidP="009528C4">
      <w:pPr>
        <w:pStyle w:val="af5"/>
        <w:numPr>
          <w:ilvl w:val="0"/>
          <w:numId w:val="25"/>
        </w:numPr>
        <w:spacing w:before="120"/>
        <w:ind w:left="690" w:hanging="240"/>
        <w:rPr>
          <w:rFonts w:ascii="等线" w:eastAsia="等线" w:hAnsi="Times New Roman"/>
          <w:color w:val="000000"/>
        </w:rPr>
      </w:pPr>
      <w:r w:rsidRPr="009528C4">
        <w:rPr>
          <w:rFonts w:ascii="等线" w:eastAsia="等线" w:hAnsi="Times New Roman"/>
          <w:color w:val="000000"/>
        </w:rPr>
        <w:t>Kerry Group in its US$950 million sale of the QGX Mongolian coal mine to Mongolian Mining Corporation</w:t>
      </w:r>
    </w:p>
    <w:p w14:paraId="243F3439" w14:textId="77777777" w:rsidR="009528C4" w:rsidRDefault="009528C4" w:rsidP="009528C4">
      <w:pPr>
        <w:pStyle w:val="af5"/>
        <w:numPr>
          <w:ilvl w:val="0"/>
          <w:numId w:val="26"/>
        </w:numPr>
        <w:spacing w:before="120"/>
        <w:ind w:left="690" w:hanging="240"/>
        <w:rPr>
          <w:rFonts w:ascii="等线" w:eastAsia="等线" w:hAnsi="Times New Roman"/>
          <w:color w:val="000000"/>
        </w:rPr>
      </w:pPr>
      <w:r w:rsidRPr="009528C4">
        <w:rPr>
          <w:rFonts w:ascii="等线" w:eastAsia="等线" w:hAnsi="Times New Roman"/>
          <w:color w:val="000000"/>
        </w:rPr>
        <w:t>DLF, the largest commercial real estate developer in India, in its US$300 million sale of the luxury hotel group Amanresorts</w:t>
      </w:r>
    </w:p>
    <w:p w14:paraId="4B360A00" w14:textId="77777777" w:rsidR="009528C4" w:rsidRDefault="009528C4" w:rsidP="009528C4">
      <w:pPr>
        <w:pStyle w:val="af5"/>
        <w:numPr>
          <w:ilvl w:val="0"/>
          <w:numId w:val="27"/>
        </w:numPr>
        <w:spacing w:before="120"/>
        <w:ind w:left="690" w:hanging="240"/>
        <w:rPr>
          <w:rFonts w:ascii="等线" w:eastAsia="等线" w:hAnsi="Times New Roman"/>
          <w:color w:val="000000"/>
        </w:rPr>
      </w:pPr>
      <w:r w:rsidRPr="009528C4">
        <w:rPr>
          <w:rFonts w:ascii="等线" w:eastAsia="等线" w:hAnsi="Times New Roman"/>
          <w:color w:val="000000"/>
        </w:rPr>
        <w:t>Mongolian Mining Corporation in connection with its joint venture with Shenhua Group, the largest coal-producing company in China</w:t>
      </w:r>
    </w:p>
    <w:p w14:paraId="759B6469" w14:textId="77777777" w:rsidR="009528C4" w:rsidRDefault="009528C4" w:rsidP="009528C4">
      <w:pPr>
        <w:pStyle w:val="af5"/>
        <w:numPr>
          <w:ilvl w:val="0"/>
          <w:numId w:val="28"/>
        </w:numPr>
        <w:spacing w:before="120"/>
        <w:ind w:left="690" w:hanging="240"/>
        <w:rPr>
          <w:rFonts w:ascii="等线" w:eastAsia="等线" w:hAnsi="Times New Roman"/>
          <w:color w:val="000000"/>
        </w:rPr>
      </w:pPr>
      <w:r w:rsidRPr="009528C4">
        <w:rPr>
          <w:rFonts w:ascii="等线" w:eastAsia="等线" w:hAnsi="Times New Roman"/>
          <w:color w:val="000000"/>
        </w:rPr>
        <w:t>BearingPoint in the sale of its China development centers to PwC in Section 363 bankruptcy proceedings</w:t>
      </w:r>
    </w:p>
    <w:p w14:paraId="3D33A197" w14:textId="77777777" w:rsidR="009528C4" w:rsidRDefault="009528C4" w:rsidP="009528C4">
      <w:pPr>
        <w:pStyle w:val="af5"/>
        <w:numPr>
          <w:ilvl w:val="0"/>
          <w:numId w:val="29"/>
        </w:numPr>
        <w:spacing w:before="120"/>
        <w:ind w:left="690" w:hanging="240"/>
        <w:rPr>
          <w:rFonts w:ascii="等线" w:eastAsia="等线" w:hAnsi="Times New Roman"/>
          <w:color w:val="000000"/>
        </w:rPr>
      </w:pPr>
      <w:r w:rsidRPr="009528C4">
        <w:rPr>
          <w:rFonts w:ascii="等线" w:eastAsia="等线" w:hAnsi="Times New Roman"/>
          <w:color w:val="000000"/>
        </w:rPr>
        <w:t>Polo Ralph Lauren in its reacquisition of its PRC, Hong Kong, Macau and Taiwan businesses</w:t>
      </w:r>
    </w:p>
    <w:p w14:paraId="383D9F2B" w14:textId="77777777" w:rsidR="009528C4" w:rsidRDefault="009528C4" w:rsidP="009528C4">
      <w:pPr>
        <w:pStyle w:val="af5"/>
        <w:numPr>
          <w:ilvl w:val="0"/>
          <w:numId w:val="30"/>
        </w:numPr>
        <w:spacing w:before="120"/>
        <w:ind w:left="690" w:hanging="240"/>
        <w:rPr>
          <w:rFonts w:ascii="等线" w:eastAsia="等线" w:hAnsi="Times New Roman"/>
          <w:color w:val="000000"/>
        </w:rPr>
      </w:pPr>
      <w:r w:rsidRPr="009528C4">
        <w:rPr>
          <w:rFonts w:ascii="等线" w:eastAsia="等线" w:hAnsi="Times New Roman"/>
          <w:color w:val="000000"/>
        </w:rPr>
        <w:t>Philippine Long Distance Telephone Company (PLDT) in the sale of its business processing outsourcing (BPO) operations to CVC Capital Partners</w:t>
      </w:r>
    </w:p>
    <w:p w14:paraId="087C4D7B" w14:textId="77777777" w:rsidR="009528C4" w:rsidRDefault="009528C4" w:rsidP="009528C4">
      <w:pPr>
        <w:pStyle w:val="af5"/>
        <w:numPr>
          <w:ilvl w:val="0"/>
          <w:numId w:val="31"/>
        </w:numPr>
        <w:spacing w:before="120"/>
        <w:ind w:left="690" w:hanging="240"/>
        <w:rPr>
          <w:rFonts w:ascii="等线" w:eastAsia="等线" w:hAnsi="Times New Roman"/>
          <w:color w:val="000000"/>
        </w:rPr>
      </w:pPr>
      <w:r w:rsidRPr="009528C4">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06B7581B" w14:textId="77777777" w:rsidR="009528C4" w:rsidRDefault="009528C4" w:rsidP="009528C4">
      <w:pPr>
        <w:pStyle w:val="af5"/>
        <w:numPr>
          <w:ilvl w:val="0"/>
          <w:numId w:val="32"/>
        </w:numPr>
        <w:spacing w:before="120"/>
        <w:ind w:left="690" w:hanging="240"/>
        <w:rPr>
          <w:rFonts w:ascii="等线" w:eastAsia="等线" w:hAnsi="Times New Roman"/>
          <w:color w:val="000000"/>
        </w:rPr>
      </w:pPr>
      <w:r w:rsidRPr="009528C4">
        <w:rPr>
          <w:rFonts w:ascii="等线" w:eastAsia="等线" w:hAnsi="Times New Roman"/>
          <w:color w:val="000000"/>
        </w:rPr>
        <w:t>Aozora Bank in a proposed merger of equals with Shinsei Bank</w:t>
      </w:r>
    </w:p>
    <w:p w14:paraId="72C1C3A0" w14:textId="77777777" w:rsidR="009528C4" w:rsidRDefault="009528C4" w:rsidP="009528C4">
      <w:pPr>
        <w:pStyle w:val="af5"/>
        <w:numPr>
          <w:ilvl w:val="0"/>
          <w:numId w:val="33"/>
        </w:numPr>
        <w:spacing w:before="120"/>
        <w:ind w:left="690" w:hanging="240"/>
        <w:rPr>
          <w:rFonts w:ascii="等线" w:eastAsia="等线" w:hAnsi="Times New Roman"/>
          <w:color w:val="000000"/>
        </w:rPr>
      </w:pPr>
      <w:r w:rsidRPr="009528C4">
        <w:rPr>
          <w:rFonts w:ascii="等线" w:eastAsia="等线" w:hAnsi="Times New Roman"/>
          <w:color w:val="000000"/>
        </w:rPr>
        <w:t>Nikko Asset Management in its sale by Citigroup to Sumitomo Trust</w:t>
      </w:r>
    </w:p>
    <w:p w14:paraId="73744469" w14:textId="77777777" w:rsidR="009528C4" w:rsidRDefault="009528C4" w:rsidP="009528C4">
      <w:pPr>
        <w:pStyle w:val="af5"/>
        <w:numPr>
          <w:ilvl w:val="0"/>
          <w:numId w:val="34"/>
        </w:numPr>
        <w:spacing w:before="120"/>
        <w:ind w:left="690" w:hanging="240"/>
        <w:rPr>
          <w:rFonts w:ascii="等线" w:eastAsia="等线" w:hAnsi="Times New Roman"/>
          <w:color w:val="000000"/>
        </w:rPr>
      </w:pPr>
      <w:r w:rsidRPr="009528C4">
        <w:rPr>
          <w:rFonts w:ascii="等线" w:eastAsia="等线" w:hAnsi="Times New Roman"/>
          <w:color w:val="000000"/>
        </w:rPr>
        <w:t>NCR Corporation in its formation of an R&amp;D joint venture with Fujitsu to develop next-generation ATM machines</w:t>
      </w:r>
    </w:p>
    <w:p w14:paraId="39DA0690" w14:textId="77777777" w:rsidR="009528C4" w:rsidRDefault="009528C4" w:rsidP="009528C4">
      <w:pPr>
        <w:pStyle w:val="af5"/>
        <w:numPr>
          <w:ilvl w:val="0"/>
          <w:numId w:val="35"/>
        </w:numPr>
        <w:spacing w:before="120"/>
        <w:ind w:left="690" w:hanging="240"/>
        <w:rPr>
          <w:rFonts w:ascii="等线" w:eastAsia="等线" w:hAnsi="Times New Roman"/>
          <w:color w:val="000000"/>
        </w:rPr>
      </w:pPr>
      <w:r w:rsidRPr="009528C4">
        <w:rPr>
          <w:rFonts w:ascii="等线" w:eastAsia="等线" w:hAnsi="Times New Roman"/>
          <w:color w:val="000000"/>
        </w:rPr>
        <w:t>BancTec (a Welsh, Carson portfolio company) in the MBO and sale of its Japanese business to JAFCO</w:t>
      </w:r>
    </w:p>
    <w:p w14:paraId="439FDD31" w14:textId="77777777" w:rsidR="009528C4" w:rsidRDefault="009528C4" w:rsidP="009528C4">
      <w:pPr>
        <w:pStyle w:val="af5"/>
        <w:numPr>
          <w:ilvl w:val="0"/>
          <w:numId w:val="36"/>
        </w:numPr>
        <w:spacing w:before="120"/>
        <w:ind w:left="690" w:hanging="240"/>
        <w:rPr>
          <w:rFonts w:ascii="等线" w:eastAsia="等线" w:hAnsi="Times New Roman"/>
          <w:color w:val="000000"/>
        </w:rPr>
      </w:pPr>
      <w:r w:rsidRPr="009528C4">
        <w:rPr>
          <w:rFonts w:ascii="等线" w:eastAsia="等线" w:hAnsi="Times New Roman"/>
          <w:color w:val="000000"/>
        </w:rPr>
        <w:t>Ajinomoto in the US$381 million sale to Unilever of its interests in a series of joint ventures covering Hong Kong, Malaysia, Philippines, Singapore, Taiwan and Thailand</w:t>
      </w:r>
    </w:p>
    <w:p w14:paraId="04D05A92" w14:textId="77777777" w:rsidR="009528C4" w:rsidRDefault="009528C4" w:rsidP="009528C4">
      <w:pPr>
        <w:pStyle w:val="af5"/>
        <w:numPr>
          <w:ilvl w:val="0"/>
          <w:numId w:val="37"/>
        </w:numPr>
        <w:spacing w:before="120"/>
        <w:ind w:left="690" w:hanging="240"/>
        <w:rPr>
          <w:rFonts w:ascii="等线" w:eastAsia="等线" w:hAnsi="Times New Roman"/>
          <w:color w:val="000000"/>
        </w:rPr>
      </w:pPr>
      <w:r w:rsidRPr="009528C4">
        <w:rPr>
          <w:rFonts w:ascii="等线" w:eastAsia="等线" w:hAnsi="Times New Roman"/>
          <w:color w:val="000000"/>
        </w:rPr>
        <w:t>Nikko Cordial Securities, formerly Japan</w:t>
      </w:r>
      <w:r w:rsidRPr="009528C4">
        <w:rPr>
          <w:rFonts w:ascii="等线" w:eastAsia="等线" w:hAnsi="Times New Roman"/>
          <w:color w:val="000000"/>
        </w:rPr>
        <w:t>’</w:t>
      </w:r>
      <w:r w:rsidRPr="009528C4">
        <w:rPr>
          <w:rFonts w:ascii="等线" w:eastAsia="等线" w:hAnsi="Times New Roman"/>
          <w:color w:val="000000"/>
        </w:rPr>
        <w:t>s third largest brokerage, in connection with its Nikko Salomon Smith Barney securities and investment banking joint venture with Citigroup (later renamed Nikko Citigroup)</w:t>
      </w:r>
    </w:p>
    <w:p w14:paraId="38DB1CED" w14:textId="77777777" w:rsidR="009528C4" w:rsidRDefault="009528C4" w:rsidP="009528C4">
      <w:pPr>
        <w:pStyle w:val="af5"/>
        <w:numPr>
          <w:ilvl w:val="0"/>
          <w:numId w:val="38"/>
        </w:numPr>
        <w:spacing w:before="120"/>
        <w:ind w:left="690" w:hanging="240"/>
        <w:rPr>
          <w:rFonts w:ascii="等线" w:eastAsia="等线" w:hAnsi="Times New Roman"/>
          <w:color w:val="000000"/>
        </w:rPr>
      </w:pPr>
      <w:r w:rsidRPr="009528C4">
        <w:rPr>
          <w:rFonts w:ascii="等线" w:eastAsia="等线" w:hAnsi="Times New Roman"/>
          <w:color w:val="000000"/>
        </w:rPr>
        <w:t>Quadrangle Capital Partners in a US$300 million investment in Tower Vision, the second-largest telecom tower management company in India</w:t>
      </w:r>
    </w:p>
    <w:p w14:paraId="1E70A7C8" w14:textId="77777777" w:rsidR="009528C4" w:rsidRDefault="009528C4" w:rsidP="009528C4">
      <w:pPr>
        <w:pStyle w:val="af5"/>
        <w:numPr>
          <w:ilvl w:val="0"/>
          <w:numId w:val="39"/>
        </w:numPr>
        <w:spacing w:before="120"/>
        <w:ind w:left="690" w:hanging="240"/>
        <w:rPr>
          <w:rFonts w:ascii="等线" w:eastAsia="等线" w:hAnsi="Times New Roman"/>
          <w:color w:val="000000"/>
        </w:rPr>
      </w:pPr>
      <w:r w:rsidRPr="009528C4">
        <w:rPr>
          <w:rFonts w:ascii="等线" w:eastAsia="等线" w:hAnsi="Times New Roman"/>
          <w:color w:val="000000"/>
        </w:rPr>
        <w:t>The Indian government in its US$2.5 billion sale of a 20% stake in Oil and Natural Gas Corporation, at the time the largest Indian privatization in history</w:t>
      </w:r>
    </w:p>
    <w:p w14:paraId="56253AB6" w14:textId="77777777" w:rsidR="009528C4" w:rsidRDefault="009528C4" w:rsidP="009528C4">
      <w:pPr>
        <w:pStyle w:val="af5"/>
        <w:numPr>
          <w:ilvl w:val="0"/>
          <w:numId w:val="40"/>
        </w:numPr>
        <w:spacing w:before="120"/>
        <w:ind w:left="690" w:hanging="240"/>
        <w:rPr>
          <w:rFonts w:ascii="等线" w:eastAsia="等线" w:hAnsi="Times New Roman"/>
          <w:color w:val="000000"/>
        </w:rPr>
      </w:pPr>
      <w:r w:rsidRPr="009528C4">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7D53E338" w14:textId="77777777" w:rsidR="009528C4" w:rsidRDefault="009528C4" w:rsidP="009528C4">
      <w:pPr>
        <w:pStyle w:val="af5"/>
        <w:numPr>
          <w:ilvl w:val="0"/>
          <w:numId w:val="41"/>
        </w:numPr>
        <w:spacing w:before="120"/>
        <w:ind w:left="690" w:hanging="240"/>
        <w:rPr>
          <w:rFonts w:ascii="等线" w:eastAsia="等线" w:hAnsi="Times New Roman"/>
          <w:color w:val="000000"/>
        </w:rPr>
      </w:pPr>
      <w:r w:rsidRPr="009528C4">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48DCDA20" w14:textId="77777777" w:rsidR="009528C4" w:rsidRDefault="009528C4" w:rsidP="009528C4">
      <w:pPr>
        <w:pStyle w:val="af5"/>
        <w:numPr>
          <w:ilvl w:val="0"/>
          <w:numId w:val="42"/>
        </w:numPr>
        <w:spacing w:before="120"/>
        <w:ind w:left="690" w:hanging="240"/>
        <w:rPr>
          <w:rFonts w:ascii="等线" w:eastAsia="等线" w:hAnsi="Times New Roman"/>
          <w:color w:val="000000"/>
        </w:rPr>
      </w:pPr>
      <w:r w:rsidRPr="009528C4">
        <w:rPr>
          <w:rFonts w:ascii="等线" w:eastAsia="等线" w:hAnsi="Times New Roman"/>
          <w:color w:val="000000"/>
        </w:rPr>
        <w:t>Morgan Stanley and JP Morgan in connection with their investment banking joint ventures in India</w:t>
      </w:r>
    </w:p>
    <w:p w14:paraId="29A93E1D" w14:textId="77777777" w:rsidR="009528C4" w:rsidRDefault="009528C4" w:rsidP="009528C4">
      <w:pPr>
        <w:pStyle w:val="af5"/>
        <w:numPr>
          <w:ilvl w:val="0"/>
          <w:numId w:val="43"/>
        </w:numPr>
        <w:spacing w:before="120"/>
        <w:ind w:left="690" w:hanging="240"/>
        <w:rPr>
          <w:rFonts w:ascii="等线" w:eastAsia="等线" w:hAnsi="Times New Roman"/>
          <w:color w:val="000000"/>
        </w:rPr>
      </w:pPr>
      <w:r w:rsidRPr="009528C4">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4A7B310C" w14:textId="77777777" w:rsidR="009528C4" w:rsidRDefault="009528C4" w:rsidP="009528C4">
      <w:pPr>
        <w:pStyle w:val="af5"/>
        <w:numPr>
          <w:ilvl w:val="0"/>
          <w:numId w:val="44"/>
        </w:numPr>
        <w:spacing w:before="120"/>
        <w:ind w:left="690" w:hanging="240"/>
        <w:rPr>
          <w:rFonts w:ascii="等线" w:eastAsia="等线" w:hAnsi="Times New Roman"/>
          <w:color w:val="000000"/>
        </w:rPr>
      </w:pPr>
      <w:r w:rsidRPr="009528C4">
        <w:rPr>
          <w:rFonts w:ascii="等线" w:eastAsia="等线" w:hAnsi="Times New Roman"/>
          <w:color w:val="000000"/>
        </w:rPr>
        <w:t>Include matters completed prior to joining Fangda.</w:t>
      </w:r>
    </w:p>
    <w:p w14:paraId="0B02C8AD" w14:textId="77777777" w:rsidR="009528C4" w:rsidRDefault="009528C4" w:rsidP="009528C4">
      <w:pPr>
        <w:pStyle w:val="af5"/>
        <w:spacing w:after="0" w:line="480" w:lineRule="auto"/>
        <w:rPr>
          <w:rFonts w:ascii="等线" w:eastAsia="等线" w:hAnsi="等线"/>
          <w:b/>
          <w:sz w:val="24"/>
        </w:rPr>
      </w:pPr>
      <w:r w:rsidRPr="009528C4">
        <w:rPr>
          <w:rFonts w:ascii="等线" w:eastAsia="等线" w:hAnsi="等线"/>
          <w:b/>
          <w:sz w:val="24"/>
        </w:rPr>
        <w:t>Education</w:t>
      </w:r>
    </w:p>
    <w:p w14:paraId="62DE68A1" w14:textId="77777777" w:rsidR="009528C4" w:rsidRDefault="009528C4" w:rsidP="009528C4">
      <w:pPr>
        <w:pStyle w:val="af5"/>
        <w:numPr>
          <w:ilvl w:val="0"/>
          <w:numId w:val="45"/>
        </w:numPr>
        <w:spacing w:before="120"/>
        <w:ind w:left="690" w:hanging="240"/>
        <w:rPr>
          <w:rFonts w:ascii="等线" w:eastAsia="等线" w:hAnsi="Times New Roman"/>
          <w:color w:val="000000"/>
        </w:rPr>
      </w:pPr>
      <w:r w:rsidRPr="009528C4">
        <w:rPr>
          <w:rFonts w:ascii="等线" w:eastAsia="等线" w:hAnsi="Times New Roman"/>
          <w:color w:val="000000"/>
        </w:rPr>
        <w:t>University of Virginia, J.D.,1995, Order of the Coif</w:t>
      </w:r>
    </w:p>
    <w:p w14:paraId="6A8D0C47" w14:textId="77777777" w:rsidR="009528C4" w:rsidRDefault="009528C4" w:rsidP="009528C4">
      <w:pPr>
        <w:pStyle w:val="af5"/>
        <w:numPr>
          <w:ilvl w:val="0"/>
          <w:numId w:val="46"/>
        </w:numPr>
        <w:spacing w:before="120"/>
        <w:ind w:left="690" w:hanging="240"/>
        <w:rPr>
          <w:rFonts w:ascii="等线" w:eastAsia="等线" w:hAnsi="Times New Roman"/>
          <w:color w:val="000000"/>
        </w:rPr>
      </w:pPr>
      <w:r w:rsidRPr="009528C4">
        <w:rPr>
          <w:rFonts w:ascii="等线" w:eastAsia="等线" w:hAnsi="Times New Roman"/>
          <w:color w:val="000000"/>
        </w:rPr>
        <w:t>University of Virginia, B.A., 1986, Echols Scholar, Rodman Scholar</w:t>
      </w:r>
    </w:p>
    <w:p w14:paraId="76C2E2EF" w14:textId="77777777" w:rsidR="009528C4" w:rsidRDefault="009528C4" w:rsidP="009528C4">
      <w:pPr>
        <w:pStyle w:val="af5"/>
        <w:spacing w:after="0" w:line="480" w:lineRule="auto"/>
        <w:rPr>
          <w:rFonts w:ascii="等线" w:eastAsia="等线" w:hAnsi="等线"/>
          <w:b/>
          <w:sz w:val="24"/>
        </w:rPr>
      </w:pPr>
      <w:r w:rsidRPr="009528C4">
        <w:rPr>
          <w:rFonts w:ascii="等线" w:eastAsia="等线" w:hAnsi="等线"/>
          <w:b/>
          <w:sz w:val="24"/>
        </w:rPr>
        <w:t>Professional Qualification</w:t>
      </w:r>
    </w:p>
    <w:p w14:paraId="0C1591B7" w14:textId="77777777" w:rsidR="009528C4" w:rsidRDefault="009528C4" w:rsidP="009528C4">
      <w:pPr>
        <w:pStyle w:val="af5"/>
        <w:numPr>
          <w:ilvl w:val="0"/>
          <w:numId w:val="47"/>
        </w:numPr>
        <w:spacing w:before="120"/>
        <w:ind w:left="690" w:hanging="240"/>
        <w:rPr>
          <w:rFonts w:ascii="等线" w:eastAsia="等线" w:hAnsi="Times New Roman"/>
          <w:color w:val="000000"/>
        </w:rPr>
      </w:pPr>
      <w:r w:rsidRPr="009528C4">
        <w:rPr>
          <w:rFonts w:ascii="等线" w:eastAsia="等线" w:hAnsi="Times New Roman"/>
          <w:color w:val="000000"/>
        </w:rPr>
        <w:t>Admitted to practice in Hong Kong SAR</w:t>
      </w:r>
    </w:p>
    <w:p w14:paraId="5567FC3C" w14:textId="3283DBA5" w:rsidR="00686369" w:rsidRPr="009528C4" w:rsidRDefault="009528C4" w:rsidP="009528C4">
      <w:pPr>
        <w:pStyle w:val="af5"/>
        <w:numPr>
          <w:ilvl w:val="0"/>
          <w:numId w:val="48"/>
        </w:numPr>
        <w:spacing w:before="120"/>
        <w:ind w:left="690" w:hanging="240"/>
        <w:rPr>
          <w:rFonts w:ascii="等线" w:eastAsia="等线" w:hAnsi="Times New Roman"/>
          <w:color w:val="000000"/>
        </w:rPr>
      </w:pPr>
      <w:r w:rsidRPr="009528C4">
        <w:rPr>
          <w:rFonts w:ascii="等线" w:eastAsia="等线" w:hAnsi="Times New Roman"/>
          <w:color w:val="000000"/>
        </w:rPr>
        <w:t>Admitted to practice in New York</w:t>
      </w:r>
    </w:p>
    <w:sectPr w:rsidR="00686369" w:rsidRPr="009528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0F67"/>
    <w:multiLevelType w:val="singleLevel"/>
    <w:tmpl w:val="DF16CF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1432F0"/>
    <w:multiLevelType w:val="singleLevel"/>
    <w:tmpl w:val="9D1246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6B69EE"/>
    <w:multiLevelType w:val="singleLevel"/>
    <w:tmpl w:val="6DA846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4A684A"/>
    <w:multiLevelType w:val="singleLevel"/>
    <w:tmpl w:val="F0AA49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8F3C74"/>
    <w:multiLevelType w:val="singleLevel"/>
    <w:tmpl w:val="A01CBC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1661B9"/>
    <w:multiLevelType w:val="singleLevel"/>
    <w:tmpl w:val="AD74C8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555EF8"/>
    <w:multiLevelType w:val="singleLevel"/>
    <w:tmpl w:val="B11C35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481381"/>
    <w:multiLevelType w:val="singleLevel"/>
    <w:tmpl w:val="2AC886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E46F99"/>
    <w:multiLevelType w:val="singleLevel"/>
    <w:tmpl w:val="F020A7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282808"/>
    <w:multiLevelType w:val="singleLevel"/>
    <w:tmpl w:val="D7F094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58521C"/>
    <w:multiLevelType w:val="singleLevel"/>
    <w:tmpl w:val="AF4EF2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D8763B"/>
    <w:multiLevelType w:val="singleLevel"/>
    <w:tmpl w:val="36A857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972A75"/>
    <w:multiLevelType w:val="singleLevel"/>
    <w:tmpl w:val="229643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BF3999"/>
    <w:multiLevelType w:val="singleLevel"/>
    <w:tmpl w:val="654EC1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B112D3"/>
    <w:multiLevelType w:val="singleLevel"/>
    <w:tmpl w:val="9E1E5A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0774EE"/>
    <w:multiLevelType w:val="singleLevel"/>
    <w:tmpl w:val="996654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7A093B"/>
    <w:multiLevelType w:val="singleLevel"/>
    <w:tmpl w:val="B9E8AF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B634B2"/>
    <w:multiLevelType w:val="singleLevel"/>
    <w:tmpl w:val="C57A68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257258"/>
    <w:multiLevelType w:val="singleLevel"/>
    <w:tmpl w:val="7BDC41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9B18D2"/>
    <w:multiLevelType w:val="singleLevel"/>
    <w:tmpl w:val="63BCA2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56694F"/>
    <w:multiLevelType w:val="singleLevel"/>
    <w:tmpl w:val="28EA27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DE7078"/>
    <w:multiLevelType w:val="singleLevel"/>
    <w:tmpl w:val="330478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401ECD"/>
    <w:multiLevelType w:val="singleLevel"/>
    <w:tmpl w:val="EBB8A0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8F24FE"/>
    <w:multiLevelType w:val="singleLevel"/>
    <w:tmpl w:val="EB8AD5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204A64"/>
    <w:multiLevelType w:val="singleLevel"/>
    <w:tmpl w:val="C43CD5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06227C"/>
    <w:multiLevelType w:val="singleLevel"/>
    <w:tmpl w:val="20A47B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593B6E"/>
    <w:multiLevelType w:val="singleLevel"/>
    <w:tmpl w:val="1E68FD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7343EB"/>
    <w:multiLevelType w:val="singleLevel"/>
    <w:tmpl w:val="0F1CE2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0B5302"/>
    <w:multiLevelType w:val="singleLevel"/>
    <w:tmpl w:val="094286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BA1526"/>
    <w:multiLevelType w:val="singleLevel"/>
    <w:tmpl w:val="C9DA503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EA5124"/>
    <w:multiLevelType w:val="singleLevel"/>
    <w:tmpl w:val="2556DF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C212C6"/>
    <w:multiLevelType w:val="singleLevel"/>
    <w:tmpl w:val="EEE8F4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465D6A"/>
    <w:multiLevelType w:val="singleLevel"/>
    <w:tmpl w:val="0F1CE21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9B6B54"/>
    <w:multiLevelType w:val="singleLevel"/>
    <w:tmpl w:val="F1B41A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A26700"/>
    <w:multiLevelType w:val="singleLevel"/>
    <w:tmpl w:val="CAD254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E95E25"/>
    <w:multiLevelType w:val="singleLevel"/>
    <w:tmpl w:val="ECFE882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6632C8"/>
    <w:multiLevelType w:val="singleLevel"/>
    <w:tmpl w:val="AF48D6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B17068"/>
    <w:multiLevelType w:val="singleLevel"/>
    <w:tmpl w:val="4220567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200077"/>
    <w:multiLevelType w:val="singleLevel"/>
    <w:tmpl w:val="641295E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3C27A2"/>
    <w:multiLevelType w:val="singleLevel"/>
    <w:tmpl w:val="6A6C53C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CD0D77"/>
    <w:multiLevelType w:val="singleLevel"/>
    <w:tmpl w:val="B45EF39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EF47CE"/>
    <w:multiLevelType w:val="singleLevel"/>
    <w:tmpl w:val="FF6A3C3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AE20FB"/>
    <w:multiLevelType w:val="singleLevel"/>
    <w:tmpl w:val="3E1662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D440AA"/>
    <w:multiLevelType w:val="singleLevel"/>
    <w:tmpl w:val="0DBAE86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F03E0E"/>
    <w:multiLevelType w:val="singleLevel"/>
    <w:tmpl w:val="9A46201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E13C50"/>
    <w:multiLevelType w:val="singleLevel"/>
    <w:tmpl w:val="FCFAB0A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513A89"/>
    <w:multiLevelType w:val="singleLevel"/>
    <w:tmpl w:val="DFEE613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72185E"/>
    <w:multiLevelType w:val="singleLevel"/>
    <w:tmpl w:val="C98A359E"/>
    <w:lvl w:ilvl="0">
      <w:start w:val="1"/>
      <w:numFmt w:val="bullet"/>
      <w:lvlText w:val=""/>
      <w:lvlJc w:val="left"/>
      <w:pPr>
        <w:tabs>
          <w:tab w:val="num" w:pos="200"/>
        </w:tabs>
        <w:ind w:left="200" w:hanging="200"/>
      </w:pPr>
      <w:rPr>
        <w:rFonts w:ascii="Wingdings" w:hAnsi="Wingdings" w:hint="default"/>
        <w:sz w:val="16"/>
      </w:rPr>
    </w:lvl>
  </w:abstractNum>
  <w:num w:numId="1">
    <w:abstractNumId w:val="24"/>
  </w:num>
  <w:num w:numId="2">
    <w:abstractNumId w:val="6"/>
  </w:num>
  <w:num w:numId="3">
    <w:abstractNumId w:val="8"/>
  </w:num>
  <w:num w:numId="4">
    <w:abstractNumId w:val="3"/>
  </w:num>
  <w:num w:numId="5">
    <w:abstractNumId w:val="26"/>
  </w:num>
  <w:num w:numId="6">
    <w:abstractNumId w:val="41"/>
  </w:num>
  <w:num w:numId="7">
    <w:abstractNumId w:val="21"/>
  </w:num>
  <w:num w:numId="8">
    <w:abstractNumId w:val="13"/>
  </w:num>
  <w:num w:numId="9">
    <w:abstractNumId w:val="31"/>
  </w:num>
  <w:num w:numId="10">
    <w:abstractNumId w:val="15"/>
  </w:num>
  <w:num w:numId="11">
    <w:abstractNumId w:val="4"/>
  </w:num>
  <w:num w:numId="12">
    <w:abstractNumId w:val="12"/>
  </w:num>
  <w:num w:numId="13">
    <w:abstractNumId w:val="47"/>
  </w:num>
  <w:num w:numId="14">
    <w:abstractNumId w:val="16"/>
  </w:num>
  <w:num w:numId="15">
    <w:abstractNumId w:val="42"/>
  </w:num>
  <w:num w:numId="16">
    <w:abstractNumId w:val="25"/>
  </w:num>
  <w:num w:numId="17">
    <w:abstractNumId w:val="39"/>
  </w:num>
  <w:num w:numId="18">
    <w:abstractNumId w:val="29"/>
  </w:num>
  <w:num w:numId="19">
    <w:abstractNumId w:val="7"/>
  </w:num>
  <w:num w:numId="20">
    <w:abstractNumId w:val="19"/>
  </w:num>
  <w:num w:numId="21">
    <w:abstractNumId w:val="36"/>
  </w:num>
  <w:num w:numId="22">
    <w:abstractNumId w:val="14"/>
  </w:num>
  <w:num w:numId="23">
    <w:abstractNumId w:val="11"/>
  </w:num>
  <w:num w:numId="24">
    <w:abstractNumId w:val="38"/>
  </w:num>
  <w:num w:numId="25">
    <w:abstractNumId w:val="40"/>
  </w:num>
  <w:num w:numId="26">
    <w:abstractNumId w:val="43"/>
  </w:num>
  <w:num w:numId="27">
    <w:abstractNumId w:val="18"/>
  </w:num>
  <w:num w:numId="28">
    <w:abstractNumId w:val="17"/>
  </w:num>
  <w:num w:numId="29">
    <w:abstractNumId w:val="28"/>
  </w:num>
  <w:num w:numId="30">
    <w:abstractNumId w:val="30"/>
  </w:num>
  <w:num w:numId="31">
    <w:abstractNumId w:val="35"/>
  </w:num>
  <w:num w:numId="32">
    <w:abstractNumId w:val="2"/>
  </w:num>
  <w:num w:numId="33">
    <w:abstractNumId w:val="20"/>
  </w:num>
  <w:num w:numId="34">
    <w:abstractNumId w:val="46"/>
  </w:num>
  <w:num w:numId="35">
    <w:abstractNumId w:val="9"/>
  </w:num>
  <w:num w:numId="36">
    <w:abstractNumId w:val="0"/>
  </w:num>
  <w:num w:numId="37">
    <w:abstractNumId w:val="10"/>
  </w:num>
  <w:num w:numId="38">
    <w:abstractNumId w:val="23"/>
  </w:num>
  <w:num w:numId="39">
    <w:abstractNumId w:val="45"/>
  </w:num>
  <w:num w:numId="40">
    <w:abstractNumId w:val="5"/>
  </w:num>
  <w:num w:numId="41">
    <w:abstractNumId w:val="1"/>
  </w:num>
  <w:num w:numId="42">
    <w:abstractNumId w:val="22"/>
  </w:num>
  <w:num w:numId="43">
    <w:abstractNumId w:val="44"/>
  </w:num>
  <w:num w:numId="44">
    <w:abstractNumId w:val="37"/>
  </w:num>
  <w:num w:numId="45">
    <w:abstractNumId w:val="34"/>
  </w:num>
  <w:num w:numId="46">
    <w:abstractNumId w:val="33"/>
  </w:num>
  <w:num w:numId="47">
    <w:abstractNumId w:val="32"/>
  </w:num>
  <w:num w:numId="48">
    <w:abstractNumId w:val="2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28C4"/>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28C4"/>
    <w:pPr>
      <w:spacing w:after="120"/>
    </w:pPr>
  </w:style>
  <w:style w:type="character" w:customStyle="1" w:styleId="af6">
    <w:name w:val="正文文本 字符"/>
    <w:basedOn w:val="a0"/>
    <w:link w:val="af5"/>
    <w:uiPriority w:val="99"/>
    <w:rsid w:val="009528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6EFA2-5EFA-420B-AC6C-0CC3F97DC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2026-08-04T18:56:00Z</dcterms:created>
  <dcterms:modified xsi:type="dcterms:W3CDTF">2026-08-04T18:56:00Z</dcterms:modified>
</cp:coreProperties>
</file>