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031A301" w:rsidR="0049405C" w:rsidRPr="00C24D79" w:rsidRDefault="00166DF9" w:rsidP="00166DF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66DF9">
              <w:rPr>
                <w:rFonts w:ascii="等线" w:eastAsia="等线" w:hAnsi="Times New Roman"/>
                <w:b/>
                <w:color w:val="000000"/>
                <w:sz w:val="48"/>
              </w:rPr>
              <w:t>LILY YIN</w:t>
            </w:r>
            <w:bookmarkEnd w:id="0"/>
          </w:p>
          <w:p w14:paraId="706EB16B" w14:textId="4B4736C1" w:rsidR="0049405C" w:rsidRPr="00C24D79" w:rsidRDefault="00166DF9" w:rsidP="00166DF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66DF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66DF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66DF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60C5858" w:rsidR="0049405C" w:rsidRPr="00C24D79" w:rsidRDefault="00166DF9" w:rsidP="00166DF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66DF9">
              <w:rPr>
                <w:rFonts w:ascii="等线" w:eastAsia="等线" w:hAnsi="Times New Roman"/>
                <w:color w:val="000000"/>
              </w:rPr>
              <w:t xml:space="preserve">+86 21 2208 1166 / +86 1381 6692 558 </w:t>
            </w:r>
            <w:bookmarkEnd w:id="3"/>
          </w:p>
          <w:p w14:paraId="4F910ACA" w14:textId="22A5CD5C" w:rsidR="0049405C" w:rsidRPr="00C24D79" w:rsidRDefault="00166DF9" w:rsidP="00166DF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66DF9">
              <w:rPr>
                <w:rFonts w:ascii="等线" w:eastAsia="等线" w:hAnsi="Times New Roman"/>
                <w:color w:val="000000"/>
              </w:rPr>
              <w:t>lyin@fangdalaw.com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1C6AEB4" w:rsidR="0049405C" w:rsidRPr="00C24D79" w:rsidRDefault="00166DF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E292B66" wp14:editId="01F2257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DC40E66" w:rsidR="009465FB" w:rsidRPr="00C24D79" w:rsidRDefault="00166DF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66DF9">
              <w:rPr>
                <w:rFonts w:ascii="等线" w:eastAsia="等线" w:hAnsi="Times New Roman"/>
                <w:color w:val="000000"/>
                <w:szCs w:val="21"/>
              </w:rPr>
              <w:t>MS. YIN HAS EXTENSIVE EXPERIENCE IN PRIVATE EQUITY, M&amp;A, AND FUND FORMATION. SHE IS ACTIVELY INVOLVED IN PROVIDING LEGAL SERVICES IN THE MEDIA, INTERNET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59FAE58" w14:textId="77777777" w:rsidR="00166DF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CA6AEFC" w14:textId="77777777" w:rsidR="00166DF9" w:rsidRDefault="00166DF9" w:rsidP="00166D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6DF9">
        <w:rPr>
          <w:rFonts w:ascii="等线" w:eastAsia="等线" w:hAnsi="等线"/>
          <w:b/>
          <w:sz w:val="24"/>
        </w:rPr>
        <w:t>REPRESENTATIVE MATTERS AND CASES</w:t>
      </w:r>
    </w:p>
    <w:p w14:paraId="0FE1A347" w14:textId="77777777" w:rsidR="00166DF9" w:rsidRDefault="00166DF9" w:rsidP="00166D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M&amp;A/ PE and JV Formation deals</w:t>
      </w:r>
    </w:p>
    <w:p w14:paraId="562B6BFB" w14:textId="77777777" w:rsidR="00166DF9" w:rsidRDefault="00166DF9" w:rsidP="00166DF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Ant Financial in Alibaba</w:t>
      </w:r>
      <w:r w:rsidRPr="00166DF9">
        <w:rPr>
          <w:rFonts w:ascii="等线" w:eastAsia="等线" w:hAnsi="Times New Roman"/>
          <w:color w:val="000000"/>
        </w:rPr>
        <w:t>’</w:t>
      </w:r>
      <w:r w:rsidRPr="00166DF9">
        <w:rPr>
          <w:rFonts w:ascii="等线" w:eastAsia="等线" w:hAnsi="Times New Roman"/>
          <w:color w:val="000000"/>
        </w:rPr>
        <w:t>s investment in Ant Financial for an approximately 33% stake</w:t>
      </w:r>
    </w:p>
    <w:p w14:paraId="3A267C8D" w14:textId="77777777" w:rsidR="00166DF9" w:rsidRDefault="00166DF9" w:rsidP="00166DF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Ant Financial in establishing a securities consulting joint venture with Vanguard</w:t>
      </w:r>
    </w:p>
    <w:p w14:paraId="44935055" w14:textId="77777777" w:rsidR="00166DF9" w:rsidRDefault="00166DF9" w:rsidP="00166DF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Pactera in the acquisition of its controlling stake by HNA and subsequently CEC</w:t>
      </w:r>
    </w:p>
    <w:p w14:paraId="728E058E" w14:textId="77777777" w:rsidR="00166DF9" w:rsidRDefault="00166DF9" w:rsidP="00166DF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CMC Incorporation in its investment in a leading online gaming company and several other entities</w:t>
      </w:r>
    </w:p>
    <w:p w14:paraId="0E95B1E3" w14:textId="77777777" w:rsidR="00166DF9" w:rsidRDefault="00166DF9" w:rsidP="00166DF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Boyu Capital in its equity investment in Tongcheng Tourism, a leading online travel agency</w:t>
      </w:r>
    </w:p>
    <w:p w14:paraId="4684114A" w14:textId="77777777" w:rsidR="00166DF9" w:rsidRDefault="00166DF9" w:rsidP="00166DF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Tongcheng Tourism in its strategic financings and business cooperation with Ctrip and Wanda</w:t>
      </w:r>
    </w:p>
    <w:p w14:paraId="67989E42" w14:textId="77777777" w:rsidR="00166DF9" w:rsidRDefault="00166DF9" w:rsidP="00166DF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Tongcheng Tourism in its controlling stake acquisition of Hongtu Airlines</w:t>
      </w:r>
    </w:p>
    <w:p w14:paraId="399D9E4C" w14:textId="77777777" w:rsidR="00166DF9" w:rsidRDefault="00166DF9" w:rsidP="00166DF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Alibaba in its investments in Yiguo, a leading online food sales marketplace operator in China</w:t>
      </w:r>
    </w:p>
    <w:p w14:paraId="43FF2719" w14:textId="77777777" w:rsidR="00166DF9" w:rsidRDefault="00166DF9" w:rsidP="00166DF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Alibaba in its investment in Qianxun Spatial Intelligence Inc.</w:t>
      </w:r>
    </w:p>
    <w:p w14:paraId="125F4AE3" w14:textId="77777777" w:rsidR="00166DF9" w:rsidRDefault="00166DF9" w:rsidP="00166DF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Ant Financial in its investment in Snowball and several other entities</w:t>
      </w:r>
    </w:p>
    <w:p w14:paraId="349D70A0" w14:textId="77777777" w:rsidR="00166DF9" w:rsidRDefault="00166DF9" w:rsidP="00166DF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leading market players such as Kuaidi and Qianxun Spatial Intelligence Inc. in their respective private financing deals</w:t>
      </w:r>
    </w:p>
    <w:p w14:paraId="36F2852E" w14:textId="77777777" w:rsidR="00166DF9" w:rsidRDefault="00166DF9" w:rsidP="00166DF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Welkin Capital in its investment in a leading credit rating company</w:t>
      </w:r>
    </w:p>
    <w:p w14:paraId="53A9F6DC" w14:textId="77777777" w:rsidR="00166DF9" w:rsidRDefault="00166DF9" w:rsidP="00166DF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Shanghai Integrated Circuit Industrial Investment Fund in its investment in Shanghai Everdisplay Optronics</w:t>
      </w:r>
    </w:p>
    <w:p w14:paraId="1E172F08" w14:textId="77777777" w:rsidR="00166DF9" w:rsidRDefault="00166DF9" w:rsidP="00166D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Capital Market deals</w:t>
      </w:r>
    </w:p>
    <w:p w14:paraId="4FDF823F" w14:textId="77777777" w:rsidR="00166DF9" w:rsidRDefault="00166DF9" w:rsidP="00166DF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Focus Media in its initial public offering and listing on the NASDAQ and in its follow-on offerings</w:t>
      </w:r>
    </w:p>
    <w:p w14:paraId="27D47DBC" w14:textId="77777777" w:rsidR="00166DF9" w:rsidRDefault="00166DF9" w:rsidP="00166DF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Tiange, a leading online video and audio business operator, in its initial public offering and listing on the main board of the Hong Kong Stock Exchange</w:t>
      </w:r>
    </w:p>
    <w:p w14:paraId="29C39A38" w14:textId="77777777" w:rsidR="00166DF9" w:rsidRDefault="00166DF9" w:rsidP="00166DF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Genscript in its initial public offering and listing on the main board of the Hong Kong Stock Exchange</w:t>
      </w:r>
    </w:p>
    <w:p w14:paraId="4F892301" w14:textId="77777777" w:rsidR="00166DF9" w:rsidRDefault="00166DF9" w:rsidP="00166DF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hiSoft in its initial public offering and listing on the NASDAQ</w:t>
      </w:r>
    </w:p>
    <w:p w14:paraId="6A0AF2DC" w14:textId="77777777" w:rsidR="00166DF9" w:rsidRDefault="00166DF9" w:rsidP="00166DF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NASDAQ-listed hiSoft, a leading software outsourcing company listed, in its merger with NYSE-listed VanceInfo</w:t>
      </w:r>
    </w:p>
    <w:p w14:paraId="40CD7377" w14:textId="77777777" w:rsidR="00166DF9" w:rsidRDefault="00166DF9" w:rsidP="00166DF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NASDAQ-listed Pactera in its privatization</w:t>
      </w:r>
    </w:p>
    <w:p w14:paraId="084D21CC" w14:textId="77777777" w:rsidR="00166DF9" w:rsidRDefault="00166DF9" w:rsidP="00166DF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Baozun in its initial public offering and listing on the NASDAQ</w:t>
      </w:r>
    </w:p>
    <w:p w14:paraId="76C22FB9" w14:textId="77777777" w:rsidR="00166DF9" w:rsidRDefault="00166DF9" w:rsidP="00166DF9">
      <w:pPr>
        <w:pStyle w:val="af5"/>
        <w:spacing w:before="12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Fund Formation and Assets Management</w:t>
      </w:r>
    </w:p>
    <w:p w14:paraId="79AA9C86" w14:textId="77777777" w:rsidR="00166DF9" w:rsidRDefault="00166DF9" w:rsidP="00166DF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the general partner in the formation of Oriza Buy-out Fund</w:t>
      </w:r>
    </w:p>
    <w:p w14:paraId="664C367C" w14:textId="77777777" w:rsidR="00166DF9" w:rsidRDefault="00166DF9" w:rsidP="00166DF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China Media Capital (CMC) in forming its RMB II fund</w:t>
      </w:r>
    </w:p>
    <w:p w14:paraId="0114D525" w14:textId="77777777" w:rsidR="00166DF9" w:rsidRDefault="00166DF9" w:rsidP="00166DF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KKR and COS Capital in their formation of Greater China Special Opportunity Fund, L.P.</w:t>
      </w:r>
    </w:p>
    <w:p w14:paraId="5645B947" w14:textId="77777777" w:rsidR="00166DF9" w:rsidRDefault="00166DF9" w:rsidP="00166DF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Shanghai Venture Capital Co., Ltd. in its LP investments in various venture capital funds on behalf of Venture Capital Guiding Fund of Shanghai</w:t>
      </w:r>
    </w:p>
    <w:p w14:paraId="57ADEA5C" w14:textId="77777777" w:rsidR="00166DF9" w:rsidRDefault="00166DF9" w:rsidP="00166DF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Shanghai Venture Capital Co., Ltd. in its investment in Shanghai Wuyuefeng Integrated Circuits Equity Investment L.P.</w:t>
      </w:r>
    </w:p>
    <w:p w14:paraId="031ECFE6" w14:textId="77777777" w:rsidR="00166DF9" w:rsidRDefault="00166DF9" w:rsidP="00166DF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China Pacific Insurance(group) Co., Ltd. in its investments in several famous RMB and USD funds</w:t>
      </w:r>
    </w:p>
    <w:p w14:paraId="18450D60" w14:textId="77777777" w:rsidR="00166DF9" w:rsidRDefault="00166DF9" w:rsidP="00166DF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Represented Noah in its outbound investments through the feeder fund incorporated in the Shanghai Free Trade Zone as well as its onshore LP investments</w:t>
      </w:r>
    </w:p>
    <w:p w14:paraId="60426F6A" w14:textId="77777777" w:rsidR="00166DF9" w:rsidRDefault="00166DF9" w:rsidP="00166D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6DF9">
        <w:rPr>
          <w:rFonts w:ascii="等线" w:eastAsia="等线" w:hAnsi="等线"/>
          <w:b/>
          <w:sz w:val="24"/>
        </w:rPr>
        <w:t>Education</w:t>
      </w:r>
    </w:p>
    <w:p w14:paraId="504DB40A" w14:textId="77777777" w:rsidR="00166DF9" w:rsidRDefault="00166DF9" w:rsidP="00166DF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Fudan University School of Law, LL.B.</w:t>
      </w:r>
    </w:p>
    <w:p w14:paraId="31DE1F17" w14:textId="77777777" w:rsidR="00166DF9" w:rsidRDefault="00166DF9" w:rsidP="00166DF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New York University, LL.M.</w:t>
      </w:r>
    </w:p>
    <w:p w14:paraId="0CF5E324" w14:textId="77777777" w:rsidR="00166DF9" w:rsidRDefault="00166DF9" w:rsidP="00166DF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6DF9">
        <w:rPr>
          <w:rFonts w:ascii="等线" w:eastAsia="等线" w:hAnsi="等线"/>
          <w:b/>
          <w:sz w:val="24"/>
        </w:rPr>
        <w:t>Professional Qualification</w:t>
      </w:r>
    </w:p>
    <w:p w14:paraId="60811141" w14:textId="77777777" w:rsidR="00166DF9" w:rsidRDefault="00166DF9" w:rsidP="00166DF9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Admitted to practice in the PRC</w:t>
      </w:r>
    </w:p>
    <w:p w14:paraId="5567FC3C" w14:textId="527FD60F" w:rsidR="00686369" w:rsidRPr="00166DF9" w:rsidRDefault="00166DF9" w:rsidP="00166DF9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6DF9">
        <w:rPr>
          <w:rFonts w:ascii="等线" w:eastAsia="等线" w:hAnsi="Times New Roman"/>
          <w:color w:val="000000"/>
        </w:rPr>
        <w:t>Admitted to practice in New York</w:t>
      </w:r>
    </w:p>
    <w:sectPr w:rsidR="00686369" w:rsidRPr="00166DF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F7BD0"/>
    <w:multiLevelType w:val="singleLevel"/>
    <w:tmpl w:val="01CE72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B25A81"/>
    <w:multiLevelType w:val="singleLevel"/>
    <w:tmpl w:val="5E78B2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4D62FD"/>
    <w:multiLevelType w:val="singleLevel"/>
    <w:tmpl w:val="5B786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C932AD"/>
    <w:multiLevelType w:val="singleLevel"/>
    <w:tmpl w:val="11566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F740A2"/>
    <w:multiLevelType w:val="singleLevel"/>
    <w:tmpl w:val="2152C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1A7C47"/>
    <w:multiLevelType w:val="singleLevel"/>
    <w:tmpl w:val="EF38B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CD2F13"/>
    <w:multiLevelType w:val="singleLevel"/>
    <w:tmpl w:val="8FC27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D020D3"/>
    <w:multiLevelType w:val="singleLevel"/>
    <w:tmpl w:val="1A8602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291C3A"/>
    <w:multiLevelType w:val="singleLevel"/>
    <w:tmpl w:val="123250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B63275"/>
    <w:multiLevelType w:val="singleLevel"/>
    <w:tmpl w:val="16A2C2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D322E9"/>
    <w:multiLevelType w:val="singleLevel"/>
    <w:tmpl w:val="2EDE6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1A53C1B"/>
    <w:multiLevelType w:val="singleLevel"/>
    <w:tmpl w:val="3F809D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2C57255"/>
    <w:multiLevelType w:val="singleLevel"/>
    <w:tmpl w:val="BCB85C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3626653"/>
    <w:multiLevelType w:val="singleLevel"/>
    <w:tmpl w:val="CDB8B5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1A2795"/>
    <w:multiLevelType w:val="singleLevel"/>
    <w:tmpl w:val="F13E82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90D74A5"/>
    <w:multiLevelType w:val="singleLevel"/>
    <w:tmpl w:val="70E434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311678"/>
    <w:multiLevelType w:val="singleLevel"/>
    <w:tmpl w:val="5D1A1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BF55EEA"/>
    <w:multiLevelType w:val="singleLevel"/>
    <w:tmpl w:val="62ACC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D8B479E"/>
    <w:multiLevelType w:val="singleLevel"/>
    <w:tmpl w:val="7D024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941617"/>
    <w:multiLevelType w:val="singleLevel"/>
    <w:tmpl w:val="1A8602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192034B"/>
    <w:multiLevelType w:val="singleLevel"/>
    <w:tmpl w:val="6B169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2386F9D"/>
    <w:multiLevelType w:val="singleLevel"/>
    <w:tmpl w:val="9BF0ED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2F66FAD"/>
    <w:multiLevelType w:val="singleLevel"/>
    <w:tmpl w:val="74CE5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66D5BDB"/>
    <w:multiLevelType w:val="singleLevel"/>
    <w:tmpl w:val="10EA55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8254DAF"/>
    <w:multiLevelType w:val="singleLevel"/>
    <w:tmpl w:val="9168E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ECA2F6D"/>
    <w:multiLevelType w:val="singleLevel"/>
    <w:tmpl w:val="8A8C7C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2FC1CDB"/>
    <w:multiLevelType w:val="singleLevel"/>
    <w:tmpl w:val="F0B4C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51405D3"/>
    <w:multiLevelType w:val="singleLevel"/>
    <w:tmpl w:val="90A6DB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A1B6C1B"/>
    <w:multiLevelType w:val="singleLevel"/>
    <w:tmpl w:val="E3E8E0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666063D"/>
    <w:multiLevelType w:val="singleLevel"/>
    <w:tmpl w:val="1478BF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C120B9B"/>
    <w:multiLevelType w:val="singleLevel"/>
    <w:tmpl w:val="52F27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F995425"/>
    <w:multiLevelType w:val="singleLevel"/>
    <w:tmpl w:val="65FCF4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8"/>
  </w:num>
  <w:num w:numId="3">
    <w:abstractNumId w:val="5"/>
  </w:num>
  <w:num w:numId="4">
    <w:abstractNumId w:val="25"/>
  </w:num>
  <w:num w:numId="5">
    <w:abstractNumId w:val="10"/>
  </w:num>
  <w:num w:numId="6">
    <w:abstractNumId w:val="3"/>
  </w:num>
  <w:num w:numId="7">
    <w:abstractNumId w:val="4"/>
  </w:num>
  <w:num w:numId="8">
    <w:abstractNumId w:val="30"/>
  </w:num>
  <w:num w:numId="9">
    <w:abstractNumId w:val="9"/>
  </w:num>
  <w:num w:numId="10">
    <w:abstractNumId w:val="16"/>
  </w:num>
  <w:num w:numId="11">
    <w:abstractNumId w:val="8"/>
  </w:num>
  <w:num w:numId="12">
    <w:abstractNumId w:val="27"/>
  </w:num>
  <w:num w:numId="13">
    <w:abstractNumId w:val="14"/>
  </w:num>
  <w:num w:numId="14">
    <w:abstractNumId w:val="31"/>
  </w:num>
  <w:num w:numId="15">
    <w:abstractNumId w:val="29"/>
  </w:num>
  <w:num w:numId="16">
    <w:abstractNumId w:val="23"/>
  </w:num>
  <w:num w:numId="17">
    <w:abstractNumId w:val="15"/>
  </w:num>
  <w:num w:numId="18">
    <w:abstractNumId w:val="28"/>
  </w:num>
  <w:num w:numId="19">
    <w:abstractNumId w:val="1"/>
  </w:num>
  <w:num w:numId="20">
    <w:abstractNumId w:val="32"/>
  </w:num>
  <w:num w:numId="21">
    <w:abstractNumId w:val="33"/>
  </w:num>
  <w:num w:numId="22">
    <w:abstractNumId w:val="13"/>
  </w:num>
  <w:num w:numId="23">
    <w:abstractNumId w:val="19"/>
  </w:num>
  <w:num w:numId="24">
    <w:abstractNumId w:val="20"/>
  </w:num>
  <w:num w:numId="25">
    <w:abstractNumId w:val="0"/>
  </w:num>
  <w:num w:numId="26">
    <w:abstractNumId w:val="26"/>
  </w:num>
  <w:num w:numId="27">
    <w:abstractNumId w:val="2"/>
  </w:num>
  <w:num w:numId="28">
    <w:abstractNumId w:val="24"/>
  </w:num>
  <w:num w:numId="29">
    <w:abstractNumId w:val="12"/>
  </w:num>
  <w:num w:numId="30">
    <w:abstractNumId w:val="17"/>
  </w:num>
  <w:num w:numId="31">
    <w:abstractNumId w:val="6"/>
  </w:num>
  <w:num w:numId="32">
    <w:abstractNumId w:val="22"/>
  </w:num>
  <w:num w:numId="33">
    <w:abstractNumId w:val="21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66DF9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66DF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66DF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1E34D6-AB04-4EE4-B46A-1EA934AE0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2026-06-03T19:29:00Z</dcterms:created>
  <dcterms:modified xsi:type="dcterms:W3CDTF">2026-06-03T19:29:00Z</dcterms:modified>
</cp:coreProperties>
</file>