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60A2F01D" w:rsidR="0049405C" w:rsidRPr="00C24D79" w:rsidRDefault="0060496D" w:rsidP="0060496D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60496D">
              <w:rPr>
                <w:rFonts w:ascii="等线" w:eastAsia="等线" w:hAnsi="Times New Roman"/>
                <w:b/>
                <w:color w:val="000000"/>
                <w:sz w:val="48"/>
              </w:rPr>
              <w:t>JEFFREY DING</w:t>
            </w:r>
            <w:bookmarkEnd w:id="0"/>
          </w:p>
          <w:p w14:paraId="39B984FA" w14:textId="77777777" w:rsidR="0060496D" w:rsidRPr="0060496D" w:rsidRDefault="0060496D" w:rsidP="0060496D">
            <w:pPr>
              <w:spacing w:line="360" w:lineRule="auto"/>
              <w:rPr>
                <w:rFonts w:ascii="等线" w:eastAsia="等线" w:hAnsi="Times New Roman"/>
                <w:b/>
                <w:bCs/>
                <w:color w:val="000000"/>
              </w:rPr>
            </w:pPr>
            <w:bookmarkStart w:id="2" w:name="didian"/>
            <w:r w:rsidRPr="0060496D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60496D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60496D">
              <w:rPr>
                <w:rFonts w:ascii="等线" w:eastAsia="等线" w:hAnsi="Times New Roman"/>
                <w:b/>
                <w:bCs/>
                <w:color w:val="000000"/>
              </w:rPr>
              <w:t>Beijing</w:t>
            </w:r>
          </w:p>
          <w:p w14:paraId="706EB16B" w14:textId="1D2F4629" w:rsidR="0049405C" w:rsidRPr="00C24D79" w:rsidRDefault="0060496D" w:rsidP="0060496D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r w:rsidRPr="0060496D">
              <w:rPr>
                <w:rFonts w:ascii="等线" w:eastAsia="等线" w:hAnsi="Times New Roman"/>
                <w:b/>
                <w:bCs/>
                <w:color w:val="000000"/>
              </w:rPr>
              <w:t>Registered Foreign Lawyer (PRC)</w:t>
            </w:r>
            <w:r w:rsidRPr="0060496D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60496D">
              <w:rPr>
                <w:rFonts w:ascii="等线" w:eastAsia="等线" w:hAnsi="Times New Roman"/>
                <w:b/>
                <w:bCs/>
                <w:color w:val="000000"/>
              </w:rPr>
              <w:t>Hong Kong</w:t>
            </w:r>
            <w:bookmarkEnd w:id="2"/>
          </w:p>
          <w:p w14:paraId="6199424A" w14:textId="39A3567B" w:rsidR="0049405C" w:rsidRPr="00C24D79" w:rsidRDefault="0060496D" w:rsidP="0060496D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60496D">
              <w:rPr>
                <w:rFonts w:ascii="等线" w:eastAsia="等线" w:hAnsi="Times New Roman"/>
                <w:color w:val="000000"/>
              </w:rPr>
              <w:t xml:space="preserve">+86 10 5769 5605 </w:t>
            </w:r>
            <w:bookmarkEnd w:id="3"/>
          </w:p>
          <w:p w14:paraId="4F910ACA" w14:textId="4A398061" w:rsidR="0049405C" w:rsidRPr="00C24D79" w:rsidRDefault="0060496D" w:rsidP="0060496D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60496D">
              <w:rPr>
                <w:rFonts w:ascii="等线" w:eastAsia="等线" w:hAnsi="Times New Roman"/>
                <w:color w:val="000000"/>
              </w:rPr>
              <w:t>jding@fangdalaw.com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5465DB97" w:rsidR="0049405C" w:rsidRPr="00C24D79" w:rsidRDefault="0060496D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62A60FD6" wp14:editId="040A274C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1AFEDEF5" w:rsidR="009465FB" w:rsidRPr="00C24D79" w:rsidRDefault="0060496D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60496D">
              <w:rPr>
                <w:rFonts w:ascii="等线" w:eastAsia="等线" w:hAnsi="Times New Roman"/>
                <w:color w:val="000000"/>
                <w:szCs w:val="21"/>
              </w:rPr>
              <w:t>MR. DING SPECIALIZES IN GENERAL CORPORATE MATTERS, M&amp;A, PRIVATE EQUITY AND CAPITAL MARKETS. HE HAS ALSO ADVISED ON MANY CROSS-BORDER ACQUISITIONS, PUBLIC OFFERINGS, PRIVATE PLACEMENTS, AND JOINT VENTURE TRANSACTIONS.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4B48A8CB" w14:textId="77777777" w:rsidR="0060496D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1C53DC19" w14:textId="77777777" w:rsidR="0060496D" w:rsidRDefault="0060496D" w:rsidP="0060496D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60496D">
        <w:rPr>
          <w:rFonts w:ascii="等线" w:eastAsia="等线" w:hAnsi="等线"/>
          <w:b/>
          <w:sz w:val="24"/>
        </w:rPr>
        <w:t>REPRESENTATIVE MATTERS AND CASES</w:t>
      </w:r>
    </w:p>
    <w:p w14:paraId="51EBE526" w14:textId="77777777" w:rsidR="0060496D" w:rsidRDefault="0060496D" w:rsidP="0060496D">
      <w:pPr>
        <w:pStyle w:val="af5"/>
        <w:spacing w:before="120"/>
        <w:rPr>
          <w:rFonts w:ascii="等线" w:eastAsia="等线" w:hAnsi="Times New Roman"/>
          <w:color w:val="000000"/>
        </w:rPr>
      </w:pPr>
      <w:r w:rsidRPr="0060496D">
        <w:rPr>
          <w:rFonts w:ascii="等线" w:eastAsia="等线" w:hAnsi="Times New Roman"/>
          <w:color w:val="000000"/>
        </w:rPr>
        <w:t>M&amp;A</w:t>
      </w:r>
    </w:p>
    <w:p w14:paraId="50618297" w14:textId="77777777" w:rsidR="0060496D" w:rsidRDefault="0060496D" w:rsidP="0060496D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0496D">
        <w:rPr>
          <w:rFonts w:ascii="等线" w:eastAsia="等线" w:hAnsi="Times New Roman"/>
          <w:color w:val="000000"/>
        </w:rPr>
        <w:t>Represented Zoomlion Heavy Industry, in its acquisition of the controlling stake in ShenZhen RoadRover Technology</w:t>
      </w:r>
    </w:p>
    <w:p w14:paraId="22A5B013" w14:textId="77777777" w:rsidR="0060496D" w:rsidRDefault="0060496D" w:rsidP="0060496D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0496D">
        <w:rPr>
          <w:rFonts w:ascii="等线" w:eastAsia="等线" w:hAnsi="Times New Roman"/>
          <w:color w:val="000000"/>
        </w:rPr>
        <w:t>Advised China National Chemical Corporation as PRC counsel on its tender offer for Syngenta</w:t>
      </w:r>
      <w:r w:rsidRPr="0060496D">
        <w:rPr>
          <w:rFonts w:ascii="等线" w:eastAsia="等线" w:hAnsi="Times New Roman"/>
          <w:color w:val="000000"/>
        </w:rPr>
        <w:t>’</w:t>
      </w:r>
      <w:r w:rsidRPr="0060496D">
        <w:rPr>
          <w:rFonts w:ascii="等线" w:eastAsia="等线" w:hAnsi="Times New Roman"/>
          <w:color w:val="000000"/>
        </w:rPr>
        <w:t>s 100% outstanding shares at the price of USD 465 per share, with an aggregate valuation over USD 43 billion</w:t>
      </w:r>
    </w:p>
    <w:p w14:paraId="26C625E1" w14:textId="77777777" w:rsidR="0060496D" w:rsidRDefault="0060496D" w:rsidP="0060496D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0496D">
        <w:rPr>
          <w:rFonts w:ascii="等线" w:eastAsia="等线" w:hAnsi="Times New Roman"/>
          <w:color w:val="000000"/>
        </w:rPr>
        <w:t>Represented Kingsoft Cloud in its strategic acquisition of a controlling interest in Camelot, a China-based IT service and solution provider</w:t>
      </w:r>
    </w:p>
    <w:p w14:paraId="28CB8D0F" w14:textId="77777777" w:rsidR="0060496D" w:rsidRDefault="0060496D" w:rsidP="0060496D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0496D">
        <w:rPr>
          <w:rFonts w:ascii="等线" w:eastAsia="等线" w:hAnsi="Times New Roman"/>
          <w:color w:val="000000"/>
        </w:rPr>
        <w:t>Represented MBK Partners in its acquisition and privatization of CAR Inc. (HK Stock Code: 00699), the largest car rental company in China</w:t>
      </w:r>
    </w:p>
    <w:p w14:paraId="35C7425D" w14:textId="77777777" w:rsidR="0060496D" w:rsidRDefault="0060496D" w:rsidP="0060496D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0496D">
        <w:rPr>
          <w:rFonts w:ascii="等线" w:eastAsia="等线" w:hAnsi="Times New Roman"/>
          <w:color w:val="000000"/>
        </w:rPr>
        <w:t>Advised the investor group consisting of ANTA, FountainVest and others in their proposed acquisition of Amer Sports Corporation, a sporting goods company with internationally recognized brands</w:t>
      </w:r>
    </w:p>
    <w:p w14:paraId="17FF5F3C" w14:textId="77777777" w:rsidR="0060496D" w:rsidRDefault="0060496D" w:rsidP="0060496D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0496D">
        <w:rPr>
          <w:rFonts w:ascii="等线" w:eastAsia="等线" w:hAnsi="Times New Roman"/>
          <w:color w:val="000000"/>
        </w:rPr>
        <w:t>Acted for HP in its RMB 18.85 billion sale of 51% of the total share capital of H3C Technologies Co., Ltd. to Unisplendour Corporation Limited, a company listed on the Shenzhen Stock Exchange</w:t>
      </w:r>
    </w:p>
    <w:p w14:paraId="77406C52" w14:textId="77777777" w:rsidR="0060496D" w:rsidRDefault="0060496D" w:rsidP="0060496D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0496D">
        <w:rPr>
          <w:rFonts w:ascii="等线" w:eastAsia="等线" w:hAnsi="Times New Roman"/>
          <w:color w:val="000000"/>
        </w:rPr>
        <w:t>Represented the investor consortium led by MBK Partners in its privatization of eHi Car Services Limited, a leading car rental and car services company in China</w:t>
      </w:r>
    </w:p>
    <w:p w14:paraId="640E1C33" w14:textId="77777777" w:rsidR="0060496D" w:rsidRDefault="0060496D" w:rsidP="0060496D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0496D">
        <w:rPr>
          <w:rFonts w:ascii="等线" w:eastAsia="等线" w:hAnsi="Times New Roman"/>
          <w:color w:val="000000"/>
        </w:rPr>
        <w:t>Represented BeiGene in Amgen Inc. in its USD 2.7 billion strategic investment in BeiGene</w:t>
      </w:r>
    </w:p>
    <w:p w14:paraId="74215C91" w14:textId="77777777" w:rsidR="0060496D" w:rsidRDefault="0060496D" w:rsidP="0060496D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0496D">
        <w:rPr>
          <w:rFonts w:ascii="等线" w:eastAsia="等线" w:hAnsi="Times New Roman"/>
          <w:color w:val="000000"/>
        </w:rPr>
        <w:t>Represented TPV Technology Limited, a world-renowned leader in smart display manufacturing, in Nanjing Huadong Electronic Information &amp; Technology</w:t>
      </w:r>
      <w:r w:rsidRPr="0060496D">
        <w:rPr>
          <w:rFonts w:ascii="等线" w:eastAsia="等线" w:hAnsi="Times New Roman"/>
          <w:color w:val="000000"/>
        </w:rPr>
        <w:t>’</w:t>
      </w:r>
      <w:r w:rsidRPr="0060496D">
        <w:rPr>
          <w:rFonts w:ascii="等线" w:eastAsia="等线" w:hAnsi="Times New Roman"/>
          <w:color w:val="000000"/>
        </w:rPr>
        <w:t>s RMB 13.1 billion acquisition of TPV Technology</w:t>
      </w:r>
    </w:p>
    <w:p w14:paraId="5FE8E054" w14:textId="77777777" w:rsidR="0060496D" w:rsidRDefault="0060496D" w:rsidP="0060496D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0496D">
        <w:rPr>
          <w:rFonts w:ascii="等线" w:eastAsia="等线" w:hAnsi="Times New Roman"/>
          <w:color w:val="000000"/>
        </w:rPr>
        <w:t>Represented Ant Financial in its RMB 3.3 billion acquisition of Hundsun Technologies Inc.</w:t>
      </w:r>
    </w:p>
    <w:p w14:paraId="07A459C9" w14:textId="77777777" w:rsidR="0060496D" w:rsidRDefault="0060496D" w:rsidP="0060496D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0496D">
        <w:rPr>
          <w:rFonts w:ascii="等线" w:eastAsia="等线" w:hAnsi="Times New Roman"/>
          <w:color w:val="000000"/>
        </w:rPr>
        <w:t>Represented BeiGene in Celgene</w:t>
      </w:r>
      <w:r w:rsidRPr="0060496D">
        <w:rPr>
          <w:rFonts w:ascii="等线" w:eastAsia="等线" w:hAnsi="Times New Roman"/>
          <w:color w:val="000000"/>
        </w:rPr>
        <w:t>’</w:t>
      </w:r>
      <w:r w:rsidRPr="0060496D">
        <w:rPr>
          <w:rFonts w:ascii="等线" w:eastAsia="等线" w:hAnsi="Times New Roman"/>
          <w:color w:val="000000"/>
        </w:rPr>
        <w:t>s strategic investment in BeiGene</w:t>
      </w:r>
    </w:p>
    <w:p w14:paraId="7786E028" w14:textId="77777777" w:rsidR="0060496D" w:rsidRDefault="0060496D" w:rsidP="0060496D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0496D">
        <w:rPr>
          <w:rFonts w:ascii="等线" w:eastAsia="等线" w:hAnsi="Times New Roman"/>
          <w:color w:val="000000"/>
        </w:rPr>
        <w:t>Represented China Music Corporation Music in its strategic merger with Tencent Music</w:t>
      </w:r>
    </w:p>
    <w:p w14:paraId="64299811" w14:textId="77777777" w:rsidR="0060496D" w:rsidRDefault="0060496D" w:rsidP="0060496D">
      <w:pPr>
        <w:pStyle w:val="af5"/>
        <w:spacing w:before="120"/>
        <w:rPr>
          <w:rFonts w:ascii="等线" w:eastAsia="等线" w:hAnsi="Times New Roman"/>
          <w:color w:val="000000"/>
        </w:rPr>
      </w:pPr>
      <w:r w:rsidRPr="0060496D">
        <w:rPr>
          <w:rFonts w:ascii="等线" w:eastAsia="等线" w:hAnsi="Times New Roman"/>
          <w:color w:val="000000"/>
        </w:rPr>
        <w:t>Private equity and venture capital investment</w:t>
      </w:r>
    </w:p>
    <w:p w14:paraId="003C0776" w14:textId="77777777" w:rsidR="0060496D" w:rsidRDefault="0060496D" w:rsidP="0060496D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0496D">
        <w:rPr>
          <w:rFonts w:ascii="等线" w:eastAsia="等线" w:hAnsi="Times New Roman"/>
          <w:color w:val="000000"/>
        </w:rPr>
        <w:t>Represented China Reform Holdings Corporation Ltd. in its strategic investment in China Orient Asset Management Co., Ltd.</w:t>
      </w:r>
    </w:p>
    <w:p w14:paraId="438A95B8" w14:textId="77777777" w:rsidR="0060496D" w:rsidRDefault="0060496D" w:rsidP="0060496D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0496D">
        <w:rPr>
          <w:rFonts w:ascii="等线" w:eastAsia="等线" w:hAnsi="Times New Roman"/>
          <w:color w:val="000000"/>
        </w:rPr>
        <w:t>Represented Alibaba and Aspex Master Fund in the pre-IPO investments of Xpeng, one of China</w:t>
      </w:r>
      <w:r w:rsidRPr="0060496D">
        <w:rPr>
          <w:rFonts w:ascii="等线" w:eastAsia="等线" w:hAnsi="Times New Roman"/>
          <w:color w:val="000000"/>
        </w:rPr>
        <w:t>’</w:t>
      </w:r>
      <w:r w:rsidRPr="0060496D">
        <w:rPr>
          <w:rFonts w:ascii="等线" w:eastAsia="等线" w:hAnsi="Times New Roman"/>
          <w:color w:val="000000"/>
        </w:rPr>
        <w:t>s leading smart electric vehicle companies</w:t>
      </w:r>
    </w:p>
    <w:p w14:paraId="7B71AF76" w14:textId="77777777" w:rsidR="0060496D" w:rsidRDefault="0060496D" w:rsidP="0060496D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0496D">
        <w:rPr>
          <w:rFonts w:ascii="等线" w:eastAsia="等线" w:hAnsi="Times New Roman"/>
          <w:color w:val="000000"/>
        </w:rPr>
        <w:t>Represented Primavera Capital and Ant Financial Services in their announced investment of USD 460 million in Yum! China Holdings Inc.</w:t>
      </w:r>
    </w:p>
    <w:p w14:paraId="679375B5" w14:textId="77777777" w:rsidR="0060496D" w:rsidRDefault="0060496D" w:rsidP="0060496D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0496D">
        <w:rPr>
          <w:rFonts w:ascii="等线" w:eastAsia="等线" w:hAnsi="Times New Roman"/>
          <w:color w:val="000000"/>
        </w:rPr>
        <w:t>Represented Delta Airlines in its HKD 3.48 billion subscription of 465,910,000 H shares issued by China Eastern Airlines Corporation</w:t>
      </w:r>
    </w:p>
    <w:p w14:paraId="393FCC9D" w14:textId="77777777" w:rsidR="0060496D" w:rsidRDefault="0060496D" w:rsidP="0060496D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0496D">
        <w:rPr>
          <w:rFonts w:ascii="等线" w:eastAsia="等线" w:hAnsi="Times New Roman"/>
          <w:color w:val="000000"/>
        </w:rPr>
        <w:t>Represented Goldman Sachs in its strategic investment in China Huarong Asset Management Co., Ltd.</w:t>
      </w:r>
    </w:p>
    <w:p w14:paraId="3A9E8D1F" w14:textId="77777777" w:rsidR="0060496D" w:rsidRDefault="0060496D" w:rsidP="0060496D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0496D">
        <w:rPr>
          <w:rFonts w:ascii="等线" w:eastAsia="等线" w:hAnsi="Times New Roman"/>
          <w:color w:val="000000"/>
        </w:rPr>
        <w:t>Represented UBS AG in its pre-IPO investment in China Cinda Asset Management Co., Ltd.</w:t>
      </w:r>
    </w:p>
    <w:p w14:paraId="6971A291" w14:textId="77777777" w:rsidR="0060496D" w:rsidRDefault="0060496D" w:rsidP="0060496D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0496D">
        <w:rPr>
          <w:rFonts w:ascii="等线" w:eastAsia="等线" w:hAnsi="Times New Roman"/>
          <w:color w:val="000000"/>
        </w:rPr>
        <w:t>Represented Goldman Sachs in its strategic acquisition of 12.02% equity of Taikang Insurance Group</w:t>
      </w:r>
    </w:p>
    <w:p w14:paraId="58F96C50" w14:textId="77777777" w:rsidR="0060496D" w:rsidRDefault="0060496D" w:rsidP="0060496D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0496D">
        <w:rPr>
          <w:rFonts w:ascii="等线" w:eastAsia="等线" w:hAnsi="Times New Roman"/>
          <w:color w:val="000000"/>
        </w:rPr>
        <w:t>Represented a number of private equity firms active in China, including PAG, Hillhouse, TPG, DST, Primavera Capital, MBK, and CDH Investments, in participating in investment and financing transactions in Greater China</w:t>
      </w:r>
    </w:p>
    <w:p w14:paraId="402FDCC5" w14:textId="77777777" w:rsidR="0060496D" w:rsidRDefault="0060496D" w:rsidP="0060496D">
      <w:pPr>
        <w:pStyle w:val="af5"/>
        <w:spacing w:before="120"/>
        <w:rPr>
          <w:rFonts w:ascii="等线" w:eastAsia="等线" w:hAnsi="Times New Roman"/>
          <w:color w:val="000000"/>
        </w:rPr>
      </w:pPr>
      <w:r w:rsidRPr="0060496D">
        <w:rPr>
          <w:rFonts w:ascii="等线" w:eastAsia="等线" w:hAnsi="Times New Roman"/>
          <w:color w:val="000000"/>
        </w:rPr>
        <w:t>Onshore and offshore issuance</w:t>
      </w:r>
    </w:p>
    <w:p w14:paraId="1C227C4E" w14:textId="77777777" w:rsidR="0060496D" w:rsidRDefault="0060496D" w:rsidP="0060496D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0496D">
        <w:rPr>
          <w:rFonts w:ascii="等线" w:eastAsia="等线" w:hAnsi="Times New Roman"/>
          <w:color w:val="000000"/>
        </w:rPr>
        <w:t>Advised nearly 30 companies in listing on the Hong Kong Stock Exchange, including Alibaba Group (stock code: 9988), BeiGene (stock code: 6160), Xpeng (stock code: 9868), New Horizon Health (stock code: 6606), SITC (stock code: 1697), China Development Bank Financial Leasing Co., Ltd., (stock code: 1606), CIIC (stock code: 6819), Hanhua Finance (stock code: 3903), Zoomlion (stock code: 1157), Huahong Group (stock code: 1347), HKBN (stock code: 1310), Linekong Interactive Group (stock code: 8267), Kingsoft (stock code: 3888), Shimao Group (stock code: 0813), PRADA Group (stock code: 1913), Samsonite (stock code: 1910), Hsin Chong Group (stock code: 0404), Fast Retailing (stock code: 6288), and O-Net (stock code: 0877)</w:t>
      </w:r>
    </w:p>
    <w:p w14:paraId="55372298" w14:textId="77777777" w:rsidR="0060496D" w:rsidRDefault="0060496D" w:rsidP="0060496D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0496D">
        <w:rPr>
          <w:rFonts w:ascii="等线" w:eastAsia="等线" w:hAnsi="Times New Roman"/>
          <w:color w:val="000000"/>
        </w:rPr>
        <w:t>Advised nearly 40 companies in listing on NYSE/NASDAQ, including Alibaba Group (stock code: BABA), Xpeng (stock code: XPEV), Kingsoft Cloud Holdings Ltd (stock code: KC), BeiGene (stock code: BGNE), Zepp Health (stock code: ZEPP), Rise Education (stock code: REDU), iClick Interactive (stock code: ICLK), GDS (stock code: GDS), Xunlei Limited (stock code: XNET), AutoNavi Holdings (stock code: AMAP), Jumei International (stock code: JMEI), Tuniu (stock code: TOUR), Autohome Inc. (stock code: ATHM), JOYY (stock code: YY), Beyond Spring (stock code: BYSI), Focus Media (stock code: FMCN), Vipshop (stock code: VIPS), Sofang (stock code: SFUN), Mingyang Smart Energy (stock code: MY), Pactera EDGE (stock code: PACT), and Yingli Group (stock code: YGE)</w:t>
      </w:r>
    </w:p>
    <w:p w14:paraId="029E4D9B" w14:textId="77777777" w:rsidR="0060496D" w:rsidRDefault="0060496D" w:rsidP="0060496D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0496D">
        <w:rPr>
          <w:rFonts w:ascii="等线" w:eastAsia="等线" w:hAnsi="Times New Roman"/>
          <w:color w:val="000000"/>
        </w:rPr>
        <w:t>Advised leading companies in listing A Shares or in refinancing transactions, including: BeiGene (stock code: 688235.SH); Bank of Chongqing (stock code: 601963.SH); Megvii; InnoCare Pharma Limited; COWealth Medical (stock code: 603122.SH); PICC; COSCO Shipping; GAC Group; Baoshan Iron &amp; Steel Co., Ltd.; Yunnan Yuntianhua Co., Ltd. (stock code: 600096.SH); ZTT (stock code: 600522.SH); Zoomlion (stock code: 000157.SZ); Focus Media (stock code: 002027.SZ); Shiji Group (stock code: 002153.SZ); and Huayi Brothers Media Group (stock code: 300027.SZ).</w:t>
      </w:r>
    </w:p>
    <w:p w14:paraId="3C0B5FA8" w14:textId="77777777" w:rsidR="0060496D" w:rsidRDefault="0060496D" w:rsidP="0060496D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60496D">
        <w:rPr>
          <w:rFonts w:ascii="等线" w:eastAsia="等线" w:hAnsi="等线"/>
          <w:b/>
          <w:sz w:val="24"/>
        </w:rPr>
        <w:t>Education</w:t>
      </w:r>
    </w:p>
    <w:p w14:paraId="174BD450" w14:textId="77777777" w:rsidR="0060496D" w:rsidRDefault="0060496D" w:rsidP="0060496D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0496D">
        <w:rPr>
          <w:rFonts w:ascii="等线" w:eastAsia="等线" w:hAnsi="Times New Roman"/>
          <w:color w:val="000000"/>
        </w:rPr>
        <w:t>Peking University School of Law, LL.B</w:t>
      </w:r>
    </w:p>
    <w:p w14:paraId="3B89FD35" w14:textId="77777777" w:rsidR="0060496D" w:rsidRDefault="0060496D" w:rsidP="0060496D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60496D">
        <w:rPr>
          <w:rFonts w:ascii="等线" w:eastAsia="等线" w:hAnsi="等线"/>
          <w:b/>
          <w:sz w:val="24"/>
        </w:rPr>
        <w:t>Professional Qualification</w:t>
      </w:r>
    </w:p>
    <w:p w14:paraId="78151D80" w14:textId="77777777" w:rsidR="0060496D" w:rsidRDefault="0060496D" w:rsidP="0060496D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0496D">
        <w:rPr>
          <w:rFonts w:ascii="等线" w:eastAsia="等线" w:hAnsi="Times New Roman"/>
          <w:color w:val="000000"/>
        </w:rPr>
        <w:t>Admitted to practice in the PRC</w:t>
      </w:r>
    </w:p>
    <w:p w14:paraId="514B73B3" w14:textId="77777777" w:rsidR="0060496D" w:rsidRDefault="0060496D" w:rsidP="0060496D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0496D">
        <w:rPr>
          <w:rFonts w:ascii="等线" w:eastAsia="等线" w:hAnsi="Times New Roman"/>
          <w:color w:val="000000"/>
        </w:rPr>
        <w:t>Registered Foreign Lawyer in Hong Kong SAR</w:t>
      </w:r>
    </w:p>
    <w:p w14:paraId="783344A4" w14:textId="77777777" w:rsidR="0060496D" w:rsidRDefault="0060496D" w:rsidP="0060496D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60496D">
        <w:rPr>
          <w:rFonts w:ascii="等线" w:eastAsia="等线" w:hAnsi="等线"/>
          <w:b/>
          <w:sz w:val="24"/>
        </w:rPr>
        <w:t>Professional Background</w:t>
      </w:r>
    </w:p>
    <w:p w14:paraId="5567FC3C" w14:textId="7EB35105" w:rsidR="00686369" w:rsidRPr="0060496D" w:rsidRDefault="0060496D" w:rsidP="0060496D">
      <w:pPr>
        <w:pStyle w:val="af5"/>
        <w:numPr>
          <w:ilvl w:val="0"/>
          <w:numId w:val="3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0496D">
        <w:rPr>
          <w:rFonts w:ascii="等线" w:eastAsia="等线" w:hAnsi="Times New Roman"/>
          <w:color w:val="000000"/>
        </w:rPr>
        <w:t>Before joining Fangda Partners, Mr. Ding worked as legal counsel for a Fortune 500 company. He has been named a leading lawyer by Chambers and Partners, International Financial Law Review, China Law and Practice and other professional journals in the areas of Corporate/M&amp;A and Capital Markets every year since 2007.</w:t>
      </w:r>
    </w:p>
    <w:sectPr w:rsidR="00686369" w:rsidRPr="0060496D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364548"/>
    <w:multiLevelType w:val="singleLevel"/>
    <w:tmpl w:val="1FC89CF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8D215C1"/>
    <w:multiLevelType w:val="singleLevel"/>
    <w:tmpl w:val="30F6BE9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A145390"/>
    <w:multiLevelType w:val="singleLevel"/>
    <w:tmpl w:val="E6E2EDE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C042E5B"/>
    <w:multiLevelType w:val="singleLevel"/>
    <w:tmpl w:val="578E639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0FAF6A1E"/>
    <w:multiLevelType w:val="singleLevel"/>
    <w:tmpl w:val="6F78E27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2F97B4B"/>
    <w:multiLevelType w:val="singleLevel"/>
    <w:tmpl w:val="F606FA8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0052928"/>
    <w:multiLevelType w:val="singleLevel"/>
    <w:tmpl w:val="9AE23CE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2374964"/>
    <w:multiLevelType w:val="singleLevel"/>
    <w:tmpl w:val="2BB87C1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BB60F98"/>
    <w:multiLevelType w:val="singleLevel"/>
    <w:tmpl w:val="2BA01B3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DA83696"/>
    <w:multiLevelType w:val="singleLevel"/>
    <w:tmpl w:val="806E8EF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1" w15:restartNumberingAfterBreak="0">
    <w:nsid w:val="303A6DDF"/>
    <w:multiLevelType w:val="singleLevel"/>
    <w:tmpl w:val="B67E6E0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31025C8D"/>
    <w:multiLevelType w:val="singleLevel"/>
    <w:tmpl w:val="D08074C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39C73D19"/>
    <w:multiLevelType w:val="singleLevel"/>
    <w:tmpl w:val="61325A7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3AA62B04"/>
    <w:multiLevelType w:val="singleLevel"/>
    <w:tmpl w:val="220C9EB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6" w15:restartNumberingAfterBreak="0">
    <w:nsid w:val="3E29766C"/>
    <w:multiLevelType w:val="singleLevel"/>
    <w:tmpl w:val="3F727AF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45907B0F"/>
    <w:multiLevelType w:val="singleLevel"/>
    <w:tmpl w:val="D390FC4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45FE7668"/>
    <w:multiLevelType w:val="singleLevel"/>
    <w:tmpl w:val="1E2609F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47177E88"/>
    <w:multiLevelType w:val="singleLevel"/>
    <w:tmpl w:val="7C26314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4D435BC1"/>
    <w:multiLevelType w:val="singleLevel"/>
    <w:tmpl w:val="F56831C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52AA0E82"/>
    <w:multiLevelType w:val="singleLevel"/>
    <w:tmpl w:val="DDC2133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54643F73"/>
    <w:multiLevelType w:val="singleLevel"/>
    <w:tmpl w:val="2502354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5B53565C"/>
    <w:multiLevelType w:val="singleLevel"/>
    <w:tmpl w:val="806E8EF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5C16100C"/>
    <w:multiLevelType w:val="singleLevel"/>
    <w:tmpl w:val="EB28FD4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5ED02BE1"/>
    <w:multiLevelType w:val="singleLevel"/>
    <w:tmpl w:val="4E9C417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5F353971"/>
    <w:multiLevelType w:val="singleLevel"/>
    <w:tmpl w:val="0010A94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67DB1488"/>
    <w:multiLevelType w:val="singleLevel"/>
    <w:tmpl w:val="091CF30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695D748E"/>
    <w:multiLevelType w:val="singleLevel"/>
    <w:tmpl w:val="AA609FC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7E9C711A"/>
    <w:multiLevelType w:val="singleLevel"/>
    <w:tmpl w:val="DB74A69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0"/>
  </w:num>
  <w:num w:numId="2">
    <w:abstractNumId w:val="15"/>
  </w:num>
  <w:num w:numId="3">
    <w:abstractNumId w:val="0"/>
  </w:num>
  <w:num w:numId="4">
    <w:abstractNumId w:val="28"/>
  </w:num>
  <w:num w:numId="5">
    <w:abstractNumId w:val="1"/>
  </w:num>
  <w:num w:numId="6">
    <w:abstractNumId w:val="4"/>
  </w:num>
  <w:num w:numId="7">
    <w:abstractNumId w:val="3"/>
  </w:num>
  <w:num w:numId="8">
    <w:abstractNumId w:val="26"/>
  </w:num>
  <w:num w:numId="9">
    <w:abstractNumId w:val="21"/>
  </w:num>
  <w:num w:numId="10">
    <w:abstractNumId w:val="24"/>
  </w:num>
  <w:num w:numId="11">
    <w:abstractNumId w:val="11"/>
  </w:num>
  <w:num w:numId="12">
    <w:abstractNumId w:val="14"/>
  </w:num>
  <w:num w:numId="13">
    <w:abstractNumId w:val="8"/>
  </w:num>
  <w:num w:numId="14">
    <w:abstractNumId w:val="22"/>
  </w:num>
  <w:num w:numId="15">
    <w:abstractNumId w:val="20"/>
  </w:num>
  <w:num w:numId="16">
    <w:abstractNumId w:val="13"/>
  </w:num>
  <w:num w:numId="17">
    <w:abstractNumId w:val="5"/>
  </w:num>
  <w:num w:numId="18">
    <w:abstractNumId w:val="29"/>
  </w:num>
  <w:num w:numId="19">
    <w:abstractNumId w:val="12"/>
  </w:num>
  <w:num w:numId="20">
    <w:abstractNumId w:val="16"/>
  </w:num>
  <w:num w:numId="21">
    <w:abstractNumId w:val="6"/>
  </w:num>
  <w:num w:numId="22">
    <w:abstractNumId w:val="25"/>
  </w:num>
  <w:num w:numId="23">
    <w:abstractNumId w:val="7"/>
  </w:num>
  <w:num w:numId="24">
    <w:abstractNumId w:val="2"/>
  </w:num>
  <w:num w:numId="25">
    <w:abstractNumId w:val="18"/>
  </w:num>
  <w:num w:numId="26">
    <w:abstractNumId w:val="27"/>
  </w:num>
  <w:num w:numId="27">
    <w:abstractNumId w:val="17"/>
  </w:num>
  <w:num w:numId="28">
    <w:abstractNumId w:val="19"/>
  </w:num>
  <w:num w:numId="29">
    <w:abstractNumId w:val="23"/>
  </w:num>
  <w:num w:numId="3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496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60496D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60496D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980A5CF1-0211-44E9-83D5-835FEC1001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847</Words>
  <Characters>4830</Characters>
  <Application>Microsoft Office Word</Application>
  <DocSecurity>0</DocSecurity>
  <Lines>40</Lines>
  <Paragraphs>11</Paragraphs>
  <ScaleCrop>false</ScaleCrop>
  <Company/>
  <LinksUpToDate>false</LinksUpToDate>
  <CharactersWithSpaces>5666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2026-06-02T19:21:00Z</dcterms:created>
  <dcterms:modified xsi:type="dcterms:W3CDTF">2026-06-02T19:21:00Z</dcterms:modified>
</cp:coreProperties>
</file>