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EC76CE6" w:rsidR="0049405C" w:rsidRPr="00C24D79" w:rsidRDefault="00BE0676" w:rsidP="00BE0676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BE0676">
              <w:rPr>
                <w:rFonts w:ascii="等线" w:eastAsia="等线" w:hAnsi="Times New Roman"/>
                <w:b/>
                <w:color w:val="000000"/>
                <w:sz w:val="48"/>
              </w:rPr>
              <w:t>JAMES HU</w:t>
            </w:r>
            <w:bookmarkEnd w:id="0"/>
          </w:p>
          <w:p w14:paraId="706EB16B" w14:textId="13A95BF2" w:rsidR="0049405C" w:rsidRPr="00C24D79" w:rsidRDefault="00BE0676" w:rsidP="00BE0676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BE0676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BE0676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BE0676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633902B7" w:rsidR="0049405C" w:rsidRPr="00C24D79" w:rsidRDefault="00BE0676" w:rsidP="00BE0676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BE0676">
              <w:rPr>
                <w:rFonts w:ascii="等线" w:eastAsia="等线" w:hAnsi="Times New Roman"/>
                <w:color w:val="000000"/>
              </w:rPr>
              <w:t xml:space="preserve">+86 21 2208 1166 </w:t>
            </w:r>
            <w:bookmarkEnd w:id="3"/>
          </w:p>
          <w:p w14:paraId="4F910ACA" w14:textId="1D2A2257" w:rsidR="0049405C" w:rsidRPr="00C24D79" w:rsidRDefault="00BE0676" w:rsidP="00BE0676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BE0676">
              <w:rPr>
                <w:rFonts w:ascii="等线" w:eastAsia="等线" w:hAnsi="Times New Roman"/>
                <w:color w:val="000000"/>
              </w:rPr>
              <w:t>jhu@fangdalaw.com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D2B8956" w:rsidR="0049405C" w:rsidRPr="00C24D79" w:rsidRDefault="00BE0676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A406109" wp14:editId="569B9F8C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747420BE" w:rsidR="009465FB" w:rsidRPr="00C24D79" w:rsidRDefault="00BE0676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BE0676">
              <w:rPr>
                <w:rFonts w:ascii="等线" w:eastAsia="等线" w:hAnsi="Times New Roman"/>
                <w:color w:val="000000"/>
                <w:szCs w:val="21"/>
              </w:rPr>
              <w:t>MR. JAMES HU SPECIALIZES IN DISPUTE RESOLUTION, PARTICULARLY IN LITIGATION AND ARBITRATION REGARDING INTELLECTUAL PROPERTY, ANTITRUST, COMPETITION, AND COMMERCIAL TRANSACTION.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05BB0ED1" w14:textId="77777777" w:rsidR="00BE0676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DBB2E76" w14:textId="77777777" w:rsidR="00BE0676" w:rsidRDefault="00BE0676" w:rsidP="00BE067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Mr. Hu has joined Fangda from year 2000. Prior to joining Fangda, Mr. Hu had worked in a Shanghai court for years.</w:t>
      </w:r>
    </w:p>
    <w:p w14:paraId="51620619" w14:textId="77777777" w:rsidR="00BE0676" w:rsidRDefault="00BE0676" w:rsidP="00BE067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With over 30 years experiences in dealing with complex and high-profile litigations and arbitrations involving patent, copyright, trademark, antirust, unfair competition and commercial transaction, Mr. Hu has advised numerous multi-national and domestic clients and has been highly recognized.</w:t>
      </w:r>
    </w:p>
    <w:p w14:paraId="0FAD0E66" w14:textId="77777777" w:rsidR="00BE0676" w:rsidRDefault="00BE0676" w:rsidP="00BE0676">
      <w:pPr>
        <w:pStyle w:val="af5"/>
        <w:spacing w:before="12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Mr. Hu's representative cases involving standard essential patent (SEP) disputes include but not limited to InterDigital v. Huawei, the first-ever SEP licensing rate-setting litigation and the first-ever SEP antitrust litigation in China which received high attention and was cited in many other FRAND cases worldwide, and OPPO v. Nokia, the first-ever landmark decision made by a Chinese court on global rate-setting for 5G SEPs which also received high attention worldwide.</w:t>
      </w:r>
    </w:p>
    <w:p w14:paraId="3BDFA93F" w14:textId="77777777" w:rsidR="00BE0676" w:rsidRDefault="00BE0676" w:rsidP="00BE06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0676">
        <w:rPr>
          <w:rFonts w:ascii="等线" w:eastAsia="等线" w:hAnsi="等线"/>
          <w:b/>
          <w:sz w:val="24"/>
        </w:rPr>
        <w:t>REPRESENTATIVE MATTERS AND CASES</w:t>
      </w:r>
    </w:p>
    <w:p w14:paraId="78ACFA9D" w14:textId="77777777" w:rsidR="00BE0676" w:rsidRDefault="00BE0676" w:rsidP="00BE0676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00497E65" w14:textId="77777777" w:rsidR="00BE0676" w:rsidRDefault="00BE0676" w:rsidP="00BE0676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leading wireless telecommunication technology company in a series of litigations in China, as part of global actions, concerning licensing of standard essential patents (SEPs) involving 5G, 4G, 3G and 2G standards, including, among others, the first-ever SEP antitrust lawsuit and the first-ever FRAND licensing rate-setting lawsuit in China.</w:t>
      </w:r>
    </w:p>
    <w:p w14:paraId="20451B8F" w14:textId="77777777" w:rsidR="00BE0676" w:rsidRDefault="00BE0676" w:rsidP="00BE0676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Chinese leading mobile telecommunication technology company in a series of litigations in China, as part of global actions, concerning global FRAND rate-setting of standard essential patents (SEPs) involving 5G, 4G, 3G and 2G standards.</w:t>
      </w:r>
    </w:p>
    <w:p w14:paraId="72BF4DBB" w14:textId="77777777" w:rsidR="00BE0676" w:rsidRDefault="00BE0676" w:rsidP="00BE0676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Advised a US leading wireless telecommunication technology company in an antitrust administrative investigation case concerning SEP licensing.</w:t>
      </w:r>
    </w:p>
    <w:p w14:paraId="1C6427F5" w14:textId="77777777" w:rsidR="00BE0676" w:rsidRDefault="00BE0676" w:rsidP="00BE0676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Chinese internet technology company in an antitrust administrative investigation case concerning software licensing of a famous online game.</w:t>
      </w:r>
    </w:p>
    <w:p w14:paraId="3EB0BBE3" w14:textId="77777777" w:rsidR="00BE0676" w:rsidRDefault="00BE0676" w:rsidP="00BE0676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leading chip technology company in patent and copyright infringement litigations concerning complex micro-controller integrated circuit technology.</w:t>
      </w:r>
    </w:p>
    <w:p w14:paraId="734A4339" w14:textId="77777777" w:rsidR="00BE0676" w:rsidRDefault="00BE0676" w:rsidP="00BE0676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leading chip manufacturing company in patent infringement litigations and patent invalidation proceedings concerning complex computer processor technology.</w:t>
      </w:r>
    </w:p>
    <w:p w14:paraId="7C652125" w14:textId="77777777" w:rsidR="00BE0676" w:rsidRDefault="00BE0676" w:rsidP="00BE0676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leading tool manufacturing company in defending its patent rights in multiple patent litigations and administrative invalidation proceedings.</w:t>
      </w:r>
    </w:p>
    <w:p w14:paraId="01524B16" w14:textId="77777777" w:rsidR="00BE0676" w:rsidRDefault="00BE0676" w:rsidP="00BE0676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leading wireless telecommunication technology company to obtain favorable court orders overturning patent invalidation decisions concerning telecommunication technology.</w:t>
      </w:r>
    </w:p>
    <w:p w14:paraId="77C9AE8E" w14:textId="77777777" w:rsidR="00BE0676" w:rsidRDefault="00BE0676" w:rsidP="00BE0676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PRC leading semiconductor foundry in court action seeking for injunction and damages against a main rival in the market for unfair competition.</w:t>
      </w:r>
    </w:p>
    <w:p w14:paraId="4965067F" w14:textId="77777777" w:rsidR="00BE0676" w:rsidRDefault="00BE0676" w:rsidP="00BE0676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Japan multinational company in a series of court actions seeking for injunctions and damages against multiple infringers in different provinces and cities concerning trademark infringement and trade name unfair competition.</w:t>
      </w:r>
    </w:p>
    <w:p w14:paraId="3221BE75" w14:textId="77777777" w:rsidR="00BE0676" w:rsidRDefault="00BE0676" w:rsidP="00BE0676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leading sulfuric acid process technology company in a technical secret litigation against its former key executives.</w:t>
      </w:r>
    </w:p>
    <w:p w14:paraId="7DD368B8" w14:textId="77777777" w:rsidR="00BE0676" w:rsidRDefault="00BE0676" w:rsidP="00BE0676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an EU leading solar crucible manufacturing company in a technical secret litigation against its former key engineers and the entities established by the employees.</w:t>
      </w:r>
    </w:p>
    <w:p w14:paraId="5CA07D4C" w14:textId="77777777" w:rsidR="00BE0676" w:rsidRDefault="00BE0676" w:rsidP="00BE0676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leading chip technology company in complex court actions against an integrated circuit design company for microcode and datasheet copyright infringement.</w:t>
      </w:r>
    </w:p>
    <w:p w14:paraId="7F1BB769" w14:textId="77777777" w:rsidR="00BE0676" w:rsidRDefault="00BE0676" w:rsidP="00BE0676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manufacturing company in court action concerning applied art copyright infringement.</w:t>
      </w:r>
    </w:p>
    <w:p w14:paraId="620FAFBB" w14:textId="77777777" w:rsidR="00BE0676" w:rsidRDefault="00BE0676" w:rsidP="00BE0676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world-renowned commercial company in court action against a famous sports star regarding portrait right infringement.</w:t>
      </w:r>
    </w:p>
    <w:p w14:paraId="6BD29DE3" w14:textId="77777777" w:rsidR="00BE0676" w:rsidRDefault="00BE0676" w:rsidP="00BE0676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leading Chinese internet technology company in winning the first ever preliminary injunction and favorable court order against a newspaper media and a network media in relation to commercial defamation.</w:t>
      </w:r>
    </w:p>
    <w:p w14:paraId="10E95ED0" w14:textId="77777777" w:rsidR="00BE0676" w:rsidRDefault="00BE0676" w:rsidP="00BE0676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US multinational company in commercial arbitrations and court litigations in relation to complex product quality liability arising from micro-turbine supply and maintenance contracts.</w:t>
      </w:r>
    </w:p>
    <w:p w14:paraId="7A1BE190" w14:textId="77777777" w:rsidR="00BE0676" w:rsidRDefault="00BE0676" w:rsidP="00BE0676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leading computer technology company in commercial arbitration in relation to complex product quality liability arising from printed circuit board (PCB) supply contract.</w:t>
      </w:r>
    </w:p>
    <w:p w14:paraId="1D82E1E2" w14:textId="77777777" w:rsidR="00BE0676" w:rsidRDefault="00BE0676" w:rsidP="00BE0676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Taiwan listed company in commercial arbitration against its distributors regarding complex contractual disputes, seeking for asset preservation and court enforcement.</w:t>
      </w:r>
    </w:p>
    <w:p w14:paraId="0992E266" w14:textId="77777777" w:rsidR="00BE0676" w:rsidRDefault="00BE0676" w:rsidP="00BE0676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multinational company in commercial arbitration against a state-owned company regarding contractual disputes concerning business cooperation as well as assets and debts transactions.</w:t>
      </w:r>
    </w:p>
    <w:p w14:paraId="08D4996A" w14:textId="77777777" w:rsidR="00BE0676" w:rsidRDefault="00BE0676" w:rsidP="00BE0676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multinational company in a series of court litigations and administrative proceedings against its local partners and former key executives regarding control of a joint venture (JV) set by both parties.</w:t>
      </w:r>
    </w:p>
    <w:p w14:paraId="132F1F4F" w14:textId="77777777" w:rsidR="00BE0676" w:rsidRDefault="00BE0676" w:rsidP="00BE0676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Represented a China listed company in commercial arbitration and court enforcement against a founding shareholder of one portfolio company regarding VAM (valuation adjustment mechanism), dissolution and liquidation of the portfolio company.</w:t>
      </w:r>
    </w:p>
    <w:p w14:paraId="420371EB" w14:textId="77777777" w:rsidR="00BE0676" w:rsidRDefault="00BE0676" w:rsidP="00BE06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0676">
        <w:rPr>
          <w:rFonts w:ascii="等线" w:eastAsia="等线" w:hAnsi="等线"/>
          <w:b/>
          <w:sz w:val="24"/>
        </w:rPr>
        <w:t>Education</w:t>
      </w:r>
    </w:p>
    <w:p w14:paraId="5F687B56" w14:textId="77777777" w:rsidR="00BE0676" w:rsidRDefault="00BE0676" w:rsidP="00BE0676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Fudan University Law School, L.L.M.</w:t>
      </w:r>
    </w:p>
    <w:p w14:paraId="315FBF03" w14:textId="77777777" w:rsidR="00BE0676" w:rsidRDefault="00BE0676" w:rsidP="00BE0676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East China University of Politics and Laws, L.L.B.</w:t>
      </w:r>
    </w:p>
    <w:p w14:paraId="0E965F00" w14:textId="77777777" w:rsidR="00BE0676" w:rsidRDefault="00BE0676" w:rsidP="00BE0676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BE0676">
        <w:rPr>
          <w:rFonts w:ascii="等线" w:eastAsia="等线" w:hAnsi="等线"/>
          <w:b/>
          <w:sz w:val="24"/>
        </w:rPr>
        <w:t>Professional Qualification</w:t>
      </w:r>
    </w:p>
    <w:p w14:paraId="5567FC3C" w14:textId="39C72F6F" w:rsidR="00686369" w:rsidRPr="00BE0676" w:rsidRDefault="00BE0676" w:rsidP="00BE0676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BE0676">
        <w:rPr>
          <w:rFonts w:ascii="等线" w:eastAsia="等线" w:hAnsi="Times New Roman"/>
          <w:color w:val="000000"/>
        </w:rPr>
        <w:t>Admitted to practice in the PRC</w:t>
      </w:r>
    </w:p>
    <w:sectPr w:rsidR="00686369" w:rsidRPr="00BE0676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97D76"/>
    <w:multiLevelType w:val="singleLevel"/>
    <w:tmpl w:val="52AAB2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2290013"/>
    <w:multiLevelType w:val="singleLevel"/>
    <w:tmpl w:val="52E69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7EA40DF"/>
    <w:multiLevelType w:val="singleLevel"/>
    <w:tmpl w:val="5FF80D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A2F6ADB"/>
    <w:multiLevelType w:val="singleLevel"/>
    <w:tmpl w:val="9DC29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B1607F7"/>
    <w:multiLevelType w:val="singleLevel"/>
    <w:tmpl w:val="9D02D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1E12A74"/>
    <w:multiLevelType w:val="singleLevel"/>
    <w:tmpl w:val="17BCEF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3DA3BAF"/>
    <w:multiLevelType w:val="singleLevel"/>
    <w:tmpl w:val="4E70B3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C5A6F51"/>
    <w:multiLevelType w:val="singleLevel"/>
    <w:tmpl w:val="ABA42B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C7C027A"/>
    <w:multiLevelType w:val="singleLevel"/>
    <w:tmpl w:val="63FAEC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167201A"/>
    <w:multiLevelType w:val="singleLevel"/>
    <w:tmpl w:val="FB0EDE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300D1F"/>
    <w:multiLevelType w:val="singleLevel"/>
    <w:tmpl w:val="52E69F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1C042D7"/>
    <w:multiLevelType w:val="singleLevel"/>
    <w:tmpl w:val="3034C6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3476C0C"/>
    <w:multiLevelType w:val="singleLevel"/>
    <w:tmpl w:val="138A1A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50B25A3"/>
    <w:multiLevelType w:val="singleLevel"/>
    <w:tmpl w:val="621666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60706F"/>
    <w:multiLevelType w:val="singleLevel"/>
    <w:tmpl w:val="2B76C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4C4328"/>
    <w:multiLevelType w:val="singleLevel"/>
    <w:tmpl w:val="F68CE9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490A4654"/>
    <w:multiLevelType w:val="singleLevel"/>
    <w:tmpl w:val="194A72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34B2408"/>
    <w:multiLevelType w:val="singleLevel"/>
    <w:tmpl w:val="066CB8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6251C0E"/>
    <w:multiLevelType w:val="singleLevel"/>
    <w:tmpl w:val="ECC85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598C2635"/>
    <w:multiLevelType w:val="singleLevel"/>
    <w:tmpl w:val="D966C9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57B6FFC"/>
    <w:multiLevelType w:val="singleLevel"/>
    <w:tmpl w:val="807229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86F4727"/>
    <w:multiLevelType w:val="singleLevel"/>
    <w:tmpl w:val="51DE4C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B514657"/>
    <w:multiLevelType w:val="singleLevel"/>
    <w:tmpl w:val="8EC45D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1A0729"/>
    <w:multiLevelType w:val="singleLevel"/>
    <w:tmpl w:val="C2D4D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7CE5974"/>
    <w:multiLevelType w:val="singleLevel"/>
    <w:tmpl w:val="76EA64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E6D74B0"/>
    <w:multiLevelType w:val="singleLevel"/>
    <w:tmpl w:val="28C2E2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7"/>
  </w:num>
  <w:num w:numId="3">
    <w:abstractNumId w:val="24"/>
  </w:num>
  <w:num w:numId="4">
    <w:abstractNumId w:val="15"/>
  </w:num>
  <w:num w:numId="5">
    <w:abstractNumId w:val="5"/>
  </w:num>
  <w:num w:numId="6">
    <w:abstractNumId w:val="7"/>
  </w:num>
  <w:num w:numId="7">
    <w:abstractNumId w:val="0"/>
  </w:num>
  <w:num w:numId="8">
    <w:abstractNumId w:val="23"/>
  </w:num>
  <w:num w:numId="9">
    <w:abstractNumId w:val="16"/>
  </w:num>
  <w:num w:numId="10">
    <w:abstractNumId w:val="6"/>
  </w:num>
  <w:num w:numId="11">
    <w:abstractNumId w:val="18"/>
  </w:num>
  <w:num w:numId="12">
    <w:abstractNumId w:val="3"/>
  </w:num>
  <w:num w:numId="13">
    <w:abstractNumId w:val="25"/>
  </w:num>
  <w:num w:numId="14">
    <w:abstractNumId w:val="9"/>
  </w:num>
  <w:num w:numId="15">
    <w:abstractNumId w:val="20"/>
  </w:num>
  <w:num w:numId="16">
    <w:abstractNumId w:val="13"/>
  </w:num>
  <w:num w:numId="17">
    <w:abstractNumId w:val="19"/>
  </w:num>
  <w:num w:numId="18">
    <w:abstractNumId w:val="2"/>
  </w:num>
  <w:num w:numId="19">
    <w:abstractNumId w:val="26"/>
  </w:num>
  <w:num w:numId="20">
    <w:abstractNumId w:val="8"/>
  </w:num>
  <w:num w:numId="21">
    <w:abstractNumId w:val="21"/>
  </w:num>
  <w:num w:numId="22">
    <w:abstractNumId w:val="27"/>
  </w:num>
  <w:num w:numId="23">
    <w:abstractNumId w:val="14"/>
  </w:num>
  <w:num w:numId="24">
    <w:abstractNumId w:val="22"/>
  </w:num>
  <w:num w:numId="25">
    <w:abstractNumId w:val="4"/>
  </w:num>
  <w:num w:numId="26">
    <w:abstractNumId w:val="12"/>
  </w:num>
  <w:num w:numId="27">
    <w:abstractNumId w:val="10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BE0676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BE0676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BE0676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FBB8A40-40E7-46D3-8CE9-035B045D5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817</Words>
  <Characters>4659</Characters>
  <Application>Microsoft Office Word</Application>
  <DocSecurity>0</DocSecurity>
  <Lines>38</Lines>
  <Paragraphs>10</Paragraphs>
  <ScaleCrop>false</ScaleCrop>
  <Company/>
  <LinksUpToDate>false</LinksUpToDate>
  <CharactersWithSpaces>5466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2026-06-24T04:44:00Z</dcterms:created>
  <dcterms:modified xsi:type="dcterms:W3CDTF">2026-06-24T04:44:00Z</dcterms:modified>
</cp:coreProperties>
</file>