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5582B19" w:rsidR="0049405C" w:rsidRPr="00C24D79" w:rsidRDefault="00BB3F8C" w:rsidP="00BB3F8C">
            <w:pPr>
              <w:spacing w:line="720" w:lineRule="auto"/>
              <w:rPr>
                <w:rFonts w:eastAsiaTheme="minorHAnsi"/>
                <w:color w:val="545551"/>
              </w:rPr>
            </w:pPr>
            <w:bookmarkStart w:id="0" w:name="xingming"/>
            <w:bookmarkStart w:id="1" w:name="_GoBack"/>
            <w:bookmarkEnd w:id="1"/>
            <w:r w:rsidRPr="00BB3F8C">
              <w:rPr>
                <w:rFonts w:ascii="等线" w:eastAsia="等线" w:hAnsi="Times New Roman"/>
                <w:b/>
                <w:color w:val="000000"/>
                <w:sz w:val="48"/>
              </w:rPr>
              <w:t>EDWARD BONG</w:t>
            </w:r>
            <w:bookmarkEnd w:id="0"/>
          </w:p>
          <w:p w14:paraId="706EB16B" w14:textId="127A2C89" w:rsidR="0049405C" w:rsidRPr="00C24D79" w:rsidRDefault="00BB3F8C" w:rsidP="00BB3F8C">
            <w:pPr>
              <w:spacing w:line="360" w:lineRule="auto"/>
              <w:rPr>
                <w:rFonts w:eastAsiaTheme="minorHAnsi"/>
                <w:b/>
                <w:bCs/>
                <w:color w:val="545551"/>
              </w:rPr>
            </w:pPr>
            <w:bookmarkStart w:id="2" w:name="didian"/>
            <w:r w:rsidRPr="00BB3F8C">
              <w:rPr>
                <w:rFonts w:ascii="等线" w:eastAsia="等线" w:hAnsi="Times New Roman"/>
                <w:b/>
                <w:bCs/>
                <w:color w:val="000000"/>
              </w:rPr>
              <w:t>Senior Consultant</w:t>
            </w:r>
            <w:r w:rsidRPr="00BB3F8C">
              <w:rPr>
                <w:rFonts w:ascii="等线" w:eastAsia="等线" w:hAnsi="Times New Roman"/>
                <w:b/>
                <w:bCs/>
                <w:color w:val="000000"/>
              </w:rPr>
              <w:t>·</w:t>
            </w:r>
            <w:r w:rsidRPr="00BB3F8C">
              <w:rPr>
                <w:rFonts w:ascii="等线" w:eastAsia="等线" w:hAnsi="Times New Roman"/>
                <w:b/>
                <w:bCs/>
                <w:color w:val="000000"/>
              </w:rPr>
              <w:t>Hong Kong</w:t>
            </w:r>
            <w:bookmarkEnd w:id="2"/>
          </w:p>
          <w:p w14:paraId="6199424A" w14:textId="740B3E10" w:rsidR="0049405C" w:rsidRPr="00C24D79" w:rsidRDefault="00BB3F8C" w:rsidP="00BB3F8C">
            <w:pPr>
              <w:spacing w:line="360" w:lineRule="auto"/>
              <w:rPr>
                <w:rFonts w:eastAsiaTheme="minorHAnsi"/>
                <w:color w:val="545551"/>
              </w:rPr>
            </w:pPr>
            <w:bookmarkStart w:id="3" w:name="dianhua"/>
            <w:r w:rsidRPr="00BB3F8C">
              <w:rPr>
                <w:rFonts w:ascii="等线" w:eastAsia="等线" w:hAnsi="Times New Roman"/>
                <w:color w:val="000000"/>
              </w:rPr>
              <w:t xml:space="preserve">+852 3749 1154 </w:t>
            </w:r>
            <w:bookmarkEnd w:id="3"/>
          </w:p>
          <w:p w14:paraId="4F910ACA" w14:textId="6E58D1CA" w:rsidR="0049405C" w:rsidRPr="00C24D79" w:rsidRDefault="00BB3F8C" w:rsidP="00BB3F8C">
            <w:pPr>
              <w:spacing w:line="360" w:lineRule="auto"/>
              <w:rPr>
                <w:rFonts w:eastAsiaTheme="minorHAnsi"/>
                <w:color w:val="000000"/>
              </w:rPr>
            </w:pPr>
            <w:bookmarkStart w:id="4" w:name="youxiang"/>
            <w:r w:rsidRPr="00BB3F8C">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0EE0E9" w:rsidR="0049405C" w:rsidRPr="00C24D79" w:rsidRDefault="00BB3F8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D71306" wp14:editId="040374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9EEA3B" w:rsidR="009465FB" w:rsidRPr="00C24D79" w:rsidRDefault="00BB3F8C" w:rsidP="007177F3">
            <w:pPr>
              <w:rPr>
                <w:rFonts w:eastAsiaTheme="minorHAnsi"/>
                <w:color w:val="000000"/>
                <w:szCs w:val="21"/>
              </w:rPr>
            </w:pPr>
            <w:bookmarkStart w:id="6" w:name="zhiyelingyu"/>
            <w:r w:rsidRPr="00BB3F8C">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B02F84" w14:textId="77777777" w:rsidR="00BB3F8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8F4A59" w14:textId="77777777" w:rsidR="00BB3F8C" w:rsidRDefault="00BB3F8C" w:rsidP="00BB3F8C">
      <w:pPr>
        <w:pStyle w:val="af5"/>
        <w:spacing w:after="0" w:line="480" w:lineRule="auto"/>
        <w:rPr>
          <w:rFonts w:ascii="等线" w:eastAsia="等线" w:hAnsi="等线"/>
          <w:b/>
          <w:sz w:val="24"/>
        </w:rPr>
      </w:pPr>
      <w:r w:rsidRPr="00BB3F8C">
        <w:rPr>
          <w:rFonts w:ascii="等线" w:eastAsia="等线" w:hAnsi="等线"/>
          <w:b/>
          <w:sz w:val="24"/>
        </w:rPr>
        <w:t>REPRESENTATIVE MATTERS AND CASES</w:t>
      </w:r>
    </w:p>
    <w:p w14:paraId="46E7C1BD" w14:textId="77777777" w:rsidR="00BB3F8C" w:rsidRDefault="00BB3F8C" w:rsidP="00BB3F8C">
      <w:pPr>
        <w:pStyle w:val="af5"/>
        <w:spacing w:before="120"/>
        <w:rPr>
          <w:rFonts w:ascii="等线" w:eastAsia="等线" w:hAnsi="Times New Roman"/>
          <w:color w:val="000000"/>
        </w:rPr>
      </w:pPr>
      <w:r w:rsidRPr="00BB3F8C">
        <w:rPr>
          <w:rFonts w:ascii="等线" w:eastAsia="等线" w:hAnsi="Times New Roman"/>
          <w:color w:val="000000"/>
        </w:rPr>
        <w:t>Equity</w:t>
      </w:r>
    </w:p>
    <w:p w14:paraId="4A208E14" w14:textId="77777777" w:rsidR="00BB3F8C" w:rsidRDefault="00BB3F8C" w:rsidP="00BB3F8C">
      <w:pPr>
        <w:pStyle w:val="af5"/>
        <w:numPr>
          <w:ilvl w:val="0"/>
          <w:numId w:val="1"/>
        </w:numPr>
        <w:spacing w:before="120"/>
        <w:ind w:left="690" w:hanging="240"/>
        <w:rPr>
          <w:rFonts w:ascii="等线" w:eastAsia="等线" w:hAnsi="Times New Roman"/>
          <w:color w:val="000000"/>
        </w:rPr>
      </w:pPr>
      <w:r w:rsidRPr="00BB3F8C">
        <w:rPr>
          <w:rFonts w:ascii="等线" w:eastAsia="等线" w:hAnsi="Times New Roman"/>
          <w:color w:val="000000"/>
        </w:rPr>
        <w:t>Bank of America Merrill Lynch and Goldman Sachs as sponsors for the US$205 million spin-off listing of Frontage, the US subsidiary of TigerMed</w:t>
      </w:r>
    </w:p>
    <w:p w14:paraId="1A7FC245" w14:textId="77777777" w:rsidR="00BB3F8C" w:rsidRDefault="00BB3F8C" w:rsidP="00BB3F8C">
      <w:pPr>
        <w:pStyle w:val="af5"/>
        <w:numPr>
          <w:ilvl w:val="0"/>
          <w:numId w:val="2"/>
        </w:numPr>
        <w:spacing w:before="120"/>
        <w:ind w:left="690" w:hanging="240"/>
        <w:rPr>
          <w:rFonts w:ascii="等线" w:eastAsia="等线" w:hAnsi="Times New Roman"/>
          <w:color w:val="000000"/>
        </w:rPr>
      </w:pPr>
      <w:r w:rsidRPr="00BB3F8C">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27929FE2" w14:textId="77777777" w:rsidR="00BB3F8C" w:rsidRDefault="00BB3F8C" w:rsidP="00BB3F8C">
      <w:pPr>
        <w:pStyle w:val="af5"/>
        <w:numPr>
          <w:ilvl w:val="0"/>
          <w:numId w:val="3"/>
        </w:numPr>
        <w:spacing w:before="120"/>
        <w:ind w:left="690" w:hanging="240"/>
        <w:rPr>
          <w:rFonts w:ascii="等线" w:eastAsia="等线" w:hAnsi="Times New Roman"/>
          <w:color w:val="000000"/>
        </w:rPr>
      </w:pPr>
      <w:r w:rsidRPr="00BB3F8C">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28E870F0" w14:textId="77777777" w:rsidR="00BB3F8C" w:rsidRDefault="00BB3F8C" w:rsidP="00BB3F8C">
      <w:pPr>
        <w:pStyle w:val="af5"/>
        <w:numPr>
          <w:ilvl w:val="0"/>
          <w:numId w:val="4"/>
        </w:numPr>
        <w:spacing w:before="120"/>
        <w:ind w:left="690" w:hanging="240"/>
        <w:rPr>
          <w:rFonts w:ascii="等线" w:eastAsia="等线" w:hAnsi="Times New Roman"/>
          <w:color w:val="000000"/>
        </w:rPr>
      </w:pPr>
      <w:r w:rsidRPr="00BB3F8C">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13490A71" w14:textId="77777777" w:rsidR="00BB3F8C" w:rsidRDefault="00BB3F8C" w:rsidP="00BB3F8C">
      <w:pPr>
        <w:pStyle w:val="af5"/>
        <w:numPr>
          <w:ilvl w:val="0"/>
          <w:numId w:val="5"/>
        </w:numPr>
        <w:spacing w:before="120"/>
        <w:ind w:left="690" w:hanging="240"/>
        <w:rPr>
          <w:rFonts w:ascii="等线" w:eastAsia="等线" w:hAnsi="Times New Roman"/>
          <w:color w:val="000000"/>
        </w:rPr>
      </w:pPr>
      <w:r w:rsidRPr="00BB3F8C">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3D2CAFC0" w14:textId="77777777" w:rsidR="00BB3F8C" w:rsidRDefault="00BB3F8C" w:rsidP="00BB3F8C">
      <w:pPr>
        <w:pStyle w:val="af5"/>
        <w:numPr>
          <w:ilvl w:val="0"/>
          <w:numId w:val="6"/>
        </w:numPr>
        <w:spacing w:before="120"/>
        <w:ind w:left="690" w:hanging="240"/>
        <w:rPr>
          <w:rFonts w:ascii="等线" w:eastAsia="等线" w:hAnsi="Times New Roman"/>
          <w:color w:val="000000"/>
        </w:rPr>
      </w:pPr>
      <w:r w:rsidRPr="00BB3F8C">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70321DD8" w14:textId="77777777" w:rsidR="00BB3F8C" w:rsidRDefault="00BB3F8C" w:rsidP="00BB3F8C">
      <w:pPr>
        <w:pStyle w:val="af5"/>
        <w:numPr>
          <w:ilvl w:val="0"/>
          <w:numId w:val="7"/>
        </w:numPr>
        <w:spacing w:before="120"/>
        <w:ind w:left="690" w:hanging="240"/>
        <w:rPr>
          <w:rFonts w:ascii="等线" w:eastAsia="等线" w:hAnsi="Times New Roman"/>
          <w:color w:val="000000"/>
        </w:rPr>
      </w:pPr>
      <w:r w:rsidRPr="00BB3F8C">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0F841B60" w14:textId="77777777" w:rsidR="00BB3F8C" w:rsidRDefault="00BB3F8C" w:rsidP="00BB3F8C">
      <w:pPr>
        <w:pStyle w:val="af5"/>
        <w:numPr>
          <w:ilvl w:val="0"/>
          <w:numId w:val="8"/>
        </w:numPr>
        <w:spacing w:before="120"/>
        <w:ind w:left="690" w:hanging="240"/>
        <w:rPr>
          <w:rFonts w:ascii="等线" w:eastAsia="等线" w:hAnsi="Times New Roman"/>
          <w:color w:val="000000"/>
        </w:rPr>
      </w:pPr>
      <w:r w:rsidRPr="00BB3F8C">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5222DBA8" w14:textId="77777777" w:rsidR="00BB3F8C" w:rsidRDefault="00BB3F8C" w:rsidP="00BB3F8C">
      <w:pPr>
        <w:pStyle w:val="af5"/>
        <w:numPr>
          <w:ilvl w:val="0"/>
          <w:numId w:val="9"/>
        </w:numPr>
        <w:spacing w:before="120"/>
        <w:ind w:left="690" w:hanging="240"/>
        <w:rPr>
          <w:rFonts w:ascii="等线" w:eastAsia="等线" w:hAnsi="Times New Roman"/>
          <w:color w:val="000000"/>
        </w:rPr>
      </w:pPr>
      <w:r w:rsidRPr="00BB3F8C">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25461229" w14:textId="77777777" w:rsidR="00BB3F8C" w:rsidRDefault="00BB3F8C" w:rsidP="00BB3F8C">
      <w:pPr>
        <w:pStyle w:val="af5"/>
        <w:numPr>
          <w:ilvl w:val="0"/>
          <w:numId w:val="10"/>
        </w:numPr>
        <w:spacing w:before="120"/>
        <w:ind w:left="690" w:hanging="240"/>
        <w:rPr>
          <w:rFonts w:ascii="等线" w:eastAsia="等线" w:hAnsi="Times New Roman"/>
          <w:color w:val="000000"/>
        </w:rPr>
      </w:pPr>
      <w:r w:rsidRPr="00BB3F8C">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22E94AAD" w14:textId="77777777" w:rsidR="00BB3F8C" w:rsidRDefault="00BB3F8C" w:rsidP="00BB3F8C">
      <w:pPr>
        <w:pStyle w:val="af5"/>
        <w:numPr>
          <w:ilvl w:val="0"/>
          <w:numId w:val="11"/>
        </w:numPr>
        <w:spacing w:before="120"/>
        <w:ind w:left="690" w:hanging="240"/>
        <w:rPr>
          <w:rFonts w:ascii="等线" w:eastAsia="等线" w:hAnsi="Times New Roman"/>
          <w:color w:val="000000"/>
        </w:rPr>
      </w:pPr>
      <w:r w:rsidRPr="00BB3F8C">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666AAE21" w14:textId="77777777" w:rsidR="00BB3F8C" w:rsidRDefault="00BB3F8C" w:rsidP="00BB3F8C">
      <w:pPr>
        <w:pStyle w:val="af5"/>
        <w:numPr>
          <w:ilvl w:val="0"/>
          <w:numId w:val="12"/>
        </w:numPr>
        <w:spacing w:before="120"/>
        <w:ind w:left="690" w:hanging="240"/>
        <w:rPr>
          <w:rFonts w:ascii="等线" w:eastAsia="等线" w:hAnsi="Times New Roman"/>
          <w:color w:val="000000"/>
        </w:rPr>
      </w:pPr>
      <w:r w:rsidRPr="00BB3F8C">
        <w:rPr>
          <w:rFonts w:ascii="等线" w:eastAsia="等线" w:hAnsi="Times New Roman"/>
          <w:color w:val="000000"/>
        </w:rPr>
        <w:t>Wuzhou International Holdings Limited in its HK$465 million placing and subscription of new shares on the Main Board of The Stock Exchange of Hong Kong Limited</w:t>
      </w:r>
    </w:p>
    <w:p w14:paraId="3BA74E0D" w14:textId="77777777" w:rsidR="00BB3F8C" w:rsidRDefault="00BB3F8C" w:rsidP="00BB3F8C">
      <w:pPr>
        <w:pStyle w:val="af5"/>
        <w:numPr>
          <w:ilvl w:val="0"/>
          <w:numId w:val="13"/>
        </w:numPr>
        <w:spacing w:before="120"/>
        <w:ind w:left="690" w:hanging="240"/>
        <w:rPr>
          <w:rFonts w:ascii="等线" w:eastAsia="等线" w:hAnsi="Times New Roman"/>
          <w:color w:val="000000"/>
        </w:rPr>
      </w:pPr>
      <w:r w:rsidRPr="00BB3F8C">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22EC2249" w14:textId="77777777" w:rsidR="00BB3F8C" w:rsidRDefault="00BB3F8C" w:rsidP="00BB3F8C">
      <w:pPr>
        <w:pStyle w:val="af5"/>
        <w:numPr>
          <w:ilvl w:val="0"/>
          <w:numId w:val="14"/>
        </w:numPr>
        <w:spacing w:before="120"/>
        <w:ind w:left="690" w:hanging="240"/>
        <w:rPr>
          <w:rFonts w:ascii="等线" w:eastAsia="等线" w:hAnsi="Times New Roman"/>
          <w:color w:val="000000"/>
        </w:rPr>
      </w:pPr>
      <w:r w:rsidRPr="00BB3F8C">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2B55C263" w14:textId="77777777" w:rsidR="00BB3F8C" w:rsidRDefault="00BB3F8C" w:rsidP="00BB3F8C">
      <w:pPr>
        <w:pStyle w:val="af5"/>
        <w:numPr>
          <w:ilvl w:val="0"/>
          <w:numId w:val="15"/>
        </w:numPr>
        <w:spacing w:before="120"/>
        <w:ind w:left="690" w:hanging="240"/>
        <w:rPr>
          <w:rFonts w:ascii="等线" w:eastAsia="等线" w:hAnsi="Times New Roman"/>
          <w:color w:val="000000"/>
        </w:rPr>
      </w:pPr>
      <w:r w:rsidRPr="00BB3F8C">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2A9CDDEB" w14:textId="77777777" w:rsidR="00BB3F8C" w:rsidRDefault="00BB3F8C" w:rsidP="00BB3F8C">
      <w:pPr>
        <w:pStyle w:val="af5"/>
        <w:numPr>
          <w:ilvl w:val="0"/>
          <w:numId w:val="16"/>
        </w:numPr>
        <w:spacing w:before="120"/>
        <w:ind w:left="690" w:hanging="240"/>
        <w:rPr>
          <w:rFonts w:ascii="等线" w:eastAsia="等线" w:hAnsi="Times New Roman"/>
          <w:color w:val="000000"/>
        </w:rPr>
      </w:pPr>
      <w:r w:rsidRPr="00BB3F8C">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 China Polymetallic Mining Limited, the first non-ferrous metal pure mining company listed on the Main Board of The Stock Exchange of Hong Kong Limited</w:t>
      </w:r>
    </w:p>
    <w:p w14:paraId="63F2F27F" w14:textId="77777777" w:rsidR="00BB3F8C" w:rsidRDefault="00BB3F8C" w:rsidP="00BB3F8C">
      <w:pPr>
        <w:pStyle w:val="af5"/>
        <w:numPr>
          <w:ilvl w:val="0"/>
          <w:numId w:val="17"/>
        </w:numPr>
        <w:spacing w:before="120"/>
        <w:ind w:left="690" w:hanging="240"/>
        <w:rPr>
          <w:rFonts w:ascii="等线" w:eastAsia="等线" w:hAnsi="Times New Roman"/>
          <w:color w:val="000000"/>
        </w:rPr>
      </w:pPr>
      <w:r w:rsidRPr="00BB3F8C">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2D86BA03" w14:textId="77777777" w:rsidR="00BB3F8C" w:rsidRDefault="00BB3F8C" w:rsidP="00BB3F8C">
      <w:pPr>
        <w:pStyle w:val="af5"/>
        <w:numPr>
          <w:ilvl w:val="0"/>
          <w:numId w:val="18"/>
        </w:numPr>
        <w:spacing w:before="120"/>
        <w:ind w:left="690" w:hanging="240"/>
        <w:rPr>
          <w:rFonts w:ascii="等线" w:eastAsia="等线" w:hAnsi="Times New Roman"/>
          <w:color w:val="000000"/>
        </w:rPr>
      </w:pPr>
      <w:r w:rsidRPr="00BB3F8C">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1D40AFB3" w14:textId="77777777" w:rsidR="00BB3F8C" w:rsidRDefault="00BB3F8C" w:rsidP="00BB3F8C">
      <w:pPr>
        <w:pStyle w:val="af5"/>
        <w:numPr>
          <w:ilvl w:val="0"/>
          <w:numId w:val="19"/>
        </w:numPr>
        <w:spacing w:before="120"/>
        <w:ind w:left="690" w:hanging="240"/>
        <w:rPr>
          <w:rFonts w:ascii="等线" w:eastAsia="等线" w:hAnsi="Times New Roman"/>
          <w:color w:val="000000"/>
        </w:rPr>
      </w:pPr>
      <w:r w:rsidRPr="00BB3F8C">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5818F0B9" w14:textId="77777777" w:rsidR="00BB3F8C" w:rsidRDefault="00BB3F8C" w:rsidP="00BB3F8C">
      <w:pPr>
        <w:pStyle w:val="af5"/>
        <w:spacing w:before="120"/>
        <w:rPr>
          <w:rFonts w:ascii="等线" w:eastAsia="等线" w:hAnsi="Times New Roman"/>
          <w:color w:val="000000"/>
        </w:rPr>
      </w:pPr>
      <w:r w:rsidRPr="00BB3F8C">
        <w:rPr>
          <w:rFonts w:ascii="等线" w:eastAsia="等线" w:hAnsi="Times New Roman"/>
          <w:color w:val="000000"/>
        </w:rPr>
        <w:t>M&amp;A</w:t>
      </w:r>
    </w:p>
    <w:p w14:paraId="1D99B112" w14:textId="77777777" w:rsidR="00BB3F8C" w:rsidRDefault="00BB3F8C" w:rsidP="00BB3F8C">
      <w:pPr>
        <w:pStyle w:val="af5"/>
        <w:numPr>
          <w:ilvl w:val="0"/>
          <w:numId w:val="20"/>
        </w:numPr>
        <w:spacing w:before="120"/>
        <w:ind w:left="690" w:hanging="240"/>
        <w:rPr>
          <w:rFonts w:ascii="等线" w:eastAsia="等线" w:hAnsi="Times New Roman"/>
          <w:color w:val="000000"/>
        </w:rPr>
      </w:pPr>
      <w:r w:rsidRPr="00BB3F8C">
        <w:rPr>
          <w:rFonts w:ascii="等线" w:eastAsia="等线" w:hAnsi="Times New Roman"/>
          <w:color w:val="000000"/>
        </w:rPr>
        <w:t>Advised China Huaneng Group, a China SOE, on its potential acquisition of GCL New Energy (HKEx stock code : 0451) , including the potential mandatory general offer obligations under the Takeovers Code arising from the potential acquisition</w:t>
      </w:r>
    </w:p>
    <w:p w14:paraId="71C95A94" w14:textId="77777777" w:rsidR="00BB3F8C" w:rsidRDefault="00BB3F8C" w:rsidP="00BB3F8C">
      <w:pPr>
        <w:pStyle w:val="af5"/>
        <w:numPr>
          <w:ilvl w:val="0"/>
          <w:numId w:val="21"/>
        </w:numPr>
        <w:spacing w:before="120"/>
        <w:ind w:left="690" w:hanging="240"/>
        <w:rPr>
          <w:rFonts w:ascii="等线" w:eastAsia="等线" w:hAnsi="Times New Roman"/>
          <w:color w:val="000000"/>
        </w:rPr>
      </w:pPr>
      <w:r w:rsidRPr="00BB3F8C">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490E36DB" w14:textId="77777777" w:rsidR="00BB3F8C" w:rsidRDefault="00BB3F8C" w:rsidP="00BB3F8C">
      <w:pPr>
        <w:pStyle w:val="af5"/>
        <w:numPr>
          <w:ilvl w:val="0"/>
          <w:numId w:val="22"/>
        </w:numPr>
        <w:spacing w:before="120"/>
        <w:ind w:left="690" w:hanging="240"/>
        <w:rPr>
          <w:rFonts w:ascii="等线" w:eastAsia="等线" w:hAnsi="Times New Roman"/>
          <w:color w:val="000000"/>
        </w:rPr>
      </w:pPr>
      <w:r w:rsidRPr="00BB3F8C">
        <w:rPr>
          <w:rFonts w:ascii="等线" w:eastAsia="等线" w:hAnsi="Times New Roman"/>
          <w:color w:val="000000"/>
        </w:rPr>
        <w:t>Advised Chairman of the TCL group regarding the general offer, acting in concert, disclosure of interests, dealings and director</w:t>
      </w:r>
      <w:r w:rsidRPr="00BB3F8C">
        <w:rPr>
          <w:rFonts w:ascii="等线" w:eastAsia="等线" w:hAnsi="Times New Roman"/>
          <w:color w:val="000000"/>
        </w:rPr>
        <w:t>’</w:t>
      </w:r>
      <w:r w:rsidRPr="00BB3F8C">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60E9724E" w14:textId="77777777" w:rsidR="00BB3F8C" w:rsidRDefault="00BB3F8C" w:rsidP="00BB3F8C">
      <w:pPr>
        <w:pStyle w:val="af5"/>
        <w:numPr>
          <w:ilvl w:val="0"/>
          <w:numId w:val="23"/>
        </w:numPr>
        <w:spacing w:before="120"/>
        <w:ind w:left="690" w:hanging="240"/>
        <w:rPr>
          <w:rFonts w:ascii="等线" w:eastAsia="等线" w:hAnsi="Times New Roman"/>
          <w:color w:val="000000"/>
        </w:rPr>
      </w:pPr>
      <w:r w:rsidRPr="00BB3F8C">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BB3F8C">
        <w:rPr>
          <w:rFonts w:ascii="等线" w:eastAsia="等线" w:hAnsi="Times New Roman"/>
          <w:color w:val="000000"/>
        </w:rPr>
        <w:t>’</w:t>
      </w:r>
      <w:r w:rsidRPr="00BB3F8C">
        <w:rPr>
          <w:rFonts w:ascii="等线" w:eastAsia="等线" w:hAnsi="Times New Roman"/>
          <w:color w:val="000000"/>
        </w:rPr>
        <w:t>s healthcare industry</w:t>
      </w:r>
    </w:p>
    <w:p w14:paraId="4A5F4CDA" w14:textId="77777777" w:rsidR="00BB3F8C" w:rsidRDefault="00BB3F8C" w:rsidP="00BB3F8C">
      <w:pPr>
        <w:pStyle w:val="af5"/>
        <w:numPr>
          <w:ilvl w:val="0"/>
          <w:numId w:val="24"/>
        </w:numPr>
        <w:spacing w:before="120"/>
        <w:ind w:left="690" w:hanging="240"/>
        <w:rPr>
          <w:rFonts w:ascii="等线" w:eastAsia="等线" w:hAnsi="Times New Roman"/>
          <w:color w:val="000000"/>
        </w:rPr>
      </w:pPr>
      <w:r w:rsidRPr="00BB3F8C">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57843C72" w14:textId="77777777" w:rsidR="00BB3F8C" w:rsidRDefault="00BB3F8C" w:rsidP="00BB3F8C">
      <w:pPr>
        <w:pStyle w:val="af5"/>
        <w:numPr>
          <w:ilvl w:val="0"/>
          <w:numId w:val="25"/>
        </w:numPr>
        <w:spacing w:before="120"/>
        <w:ind w:left="690" w:hanging="240"/>
        <w:rPr>
          <w:rFonts w:ascii="等线" w:eastAsia="等线" w:hAnsi="Times New Roman"/>
          <w:color w:val="000000"/>
        </w:rPr>
      </w:pPr>
      <w:r w:rsidRPr="00BB3F8C">
        <w:rPr>
          <w:rFonts w:ascii="等线" w:eastAsia="等线" w:hAnsi="Times New Roman"/>
          <w:color w:val="000000"/>
        </w:rPr>
        <w:t>Danone Asia Pacific Holdings Pte. Ltd. in its disposal of Dumex Baby Food Co. Ltd to Yashili International Group Limited in a cash transaction on Euro 150 million</w:t>
      </w:r>
    </w:p>
    <w:p w14:paraId="7CD965E7" w14:textId="77777777" w:rsidR="00BB3F8C" w:rsidRDefault="00BB3F8C" w:rsidP="00BB3F8C">
      <w:pPr>
        <w:pStyle w:val="af5"/>
        <w:numPr>
          <w:ilvl w:val="0"/>
          <w:numId w:val="26"/>
        </w:numPr>
        <w:spacing w:before="120"/>
        <w:ind w:left="690" w:hanging="240"/>
        <w:rPr>
          <w:rFonts w:ascii="等线" w:eastAsia="等线" w:hAnsi="Times New Roman"/>
          <w:color w:val="000000"/>
        </w:rPr>
      </w:pPr>
      <w:r w:rsidRPr="00BB3F8C">
        <w:rPr>
          <w:rFonts w:ascii="等线" w:eastAsia="等线" w:hAnsi="Times New Roman"/>
          <w:color w:val="000000"/>
        </w:rPr>
        <w:t>Boom Win Holdings Limited in respect of the disposal of 18.77% shares in Wuzhou International Holdings Limited for a consideration of HK$320 million</w:t>
      </w:r>
    </w:p>
    <w:p w14:paraId="7B4A9B9A" w14:textId="77777777" w:rsidR="00BB3F8C" w:rsidRDefault="00BB3F8C" w:rsidP="00BB3F8C">
      <w:pPr>
        <w:pStyle w:val="af5"/>
        <w:numPr>
          <w:ilvl w:val="0"/>
          <w:numId w:val="27"/>
        </w:numPr>
        <w:spacing w:before="120"/>
        <w:ind w:left="690" w:hanging="240"/>
        <w:rPr>
          <w:rFonts w:ascii="等线" w:eastAsia="等线" w:hAnsi="Times New Roman"/>
          <w:color w:val="000000"/>
        </w:rPr>
      </w:pPr>
      <w:r w:rsidRPr="00BB3F8C">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7FDDB5F6" w14:textId="77777777" w:rsidR="00BB3F8C" w:rsidRDefault="00BB3F8C" w:rsidP="00BB3F8C">
      <w:pPr>
        <w:pStyle w:val="af5"/>
        <w:numPr>
          <w:ilvl w:val="0"/>
          <w:numId w:val="28"/>
        </w:numPr>
        <w:spacing w:before="120"/>
        <w:ind w:left="690" w:hanging="240"/>
        <w:rPr>
          <w:rFonts w:ascii="等线" w:eastAsia="等线" w:hAnsi="Times New Roman"/>
          <w:color w:val="000000"/>
        </w:rPr>
      </w:pPr>
      <w:r w:rsidRPr="00BB3F8C">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6A4D5105" w14:textId="77777777" w:rsidR="00BB3F8C" w:rsidRDefault="00BB3F8C" w:rsidP="00BB3F8C">
      <w:pPr>
        <w:pStyle w:val="af5"/>
        <w:numPr>
          <w:ilvl w:val="0"/>
          <w:numId w:val="29"/>
        </w:numPr>
        <w:spacing w:before="120"/>
        <w:ind w:left="690" w:hanging="240"/>
        <w:rPr>
          <w:rFonts w:ascii="等线" w:eastAsia="等线" w:hAnsi="Times New Roman"/>
          <w:color w:val="000000"/>
        </w:rPr>
      </w:pPr>
      <w:r w:rsidRPr="00BB3F8C">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2A6BB714" w14:textId="77777777" w:rsidR="00BB3F8C" w:rsidRDefault="00BB3F8C" w:rsidP="00BB3F8C">
      <w:pPr>
        <w:pStyle w:val="af5"/>
        <w:numPr>
          <w:ilvl w:val="0"/>
          <w:numId w:val="30"/>
        </w:numPr>
        <w:spacing w:before="120"/>
        <w:ind w:left="690" w:hanging="240"/>
        <w:rPr>
          <w:rFonts w:ascii="等线" w:eastAsia="等线" w:hAnsi="Times New Roman"/>
          <w:color w:val="000000"/>
        </w:rPr>
      </w:pPr>
      <w:r w:rsidRPr="00BB3F8C">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30BE7947" w14:textId="77777777" w:rsidR="00BB3F8C" w:rsidRDefault="00BB3F8C" w:rsidP="00BB3F8C">
      <w:pPr>
        <w:pStyle w:val="af5"/>
        <w:numPr>
          <w:ilvl w:val="0"/>
          <w:numId w:val="31"/>
        </w:numPr>
        <w:spacing w:before="120"/>
        <w:ind w:left="690" w:hanging="240"/>
        <w:rPr>
          <w:rFonts w:ascii="等线" w:eastAsia="等线" w:hAnsi="Times New Roman"/>
          <w:color w:val="000000"/>
        </w:rPr>
      </w:pPr>
      <w:r w:rsidRPr="00BB3F8C">
        <w:rPr>
          <w:rFonts w:ascii="等线" w:eastAsia="等线" w:hAnsi="Times New Roman"/>
          <w:color w:val="000000"/>
        </w:rPr>
        <w:t>Orbimed Healthcare Fund Management in the HK$32.4 million acquisition of shares in Lee</w:t>
      </w:r>
      <w:r w:rsidRPr="00BB3F8C">
        <w:rPr>
          <w:rFonts w:ascii="等线" w:eastAsia="等线" w:hAnsi="Times New Roman"/>
          <w:color w:val="000000"/>
        </w:rPr>
        <w:t>’</w:t>
      </w:r>
      <w:r w:rsidRPr="00BB3F8C">
        <w:rPr>
          <w:rFonts w:ascii="等线" w:eastAsia="等线" w:hAnsi="Times New Roman"/>
          <w:color w:val="000000"/>
        </w:rPr>
        <w:t>s Pharmaceutical Holdings Limited, a company whose shares are listed on the Main Board of The Stock Exchange of Hong Kong Limited</w:t>
      </w:r>
    </w:p>
    <w:p w14:paraId="76772E82" w14:textId="77777777" w:rsidR="00BB3F8C" w:rsidRDefault="00BB3F8C" w:rsidP="00BB3F8C">
      <w:pPr>
        <w:pStyle w:val="af5"/>
        <w:numPr>
          <w:ilvl w:val="0"/>
          <w:numId w:val="32"/>
        </w:numPr>
        <w:spacing w:before="120"/>
        <w:ind w:left="690" w:hanging="240"/>
        <w:rPr>
          <w:rFonts w:ascii="等线" w:eastAsia="等线" w:hAnsi="Times New Roman"/>
          <w:color w:val="000000"/>
        </w:rPr>
      </w:pPr>
      <w:r w:rsidRPr="00BB3F8C">
        <w:rPr>
          <w:rFonts w:ascii="等线" w:eastAsia="等线" w:hAnsi="Times New Roman"/>
          <w:color w:val="000000"/>
        </w:rPr>
        <w:t>Orbimed Advisors LLC in its HK$390 million cornerstone investment in the initial public offering of Luye Pharma Group Ltd.</w:t>
      </w:r>
    </w:p>
    <w:p w14:paraId="7DF0CA1D" w14:textId="77777777" w:rsidR="00BB3F8C" w:rsidRDefault="00BB3F8C" w:rsidP="00BB3F8C">
      <w:pPr>
        <w:pStyle w:val="af5"/>
        <w:numPr>
          <w:ilvl w:val="0"/>
          <w:numId w:val="33"/>
        </w:numPr>
        <w:spacing w:before="120"/>
        <w:ind w:left="690" w:hanging="240"/>
        <w:rPr>
          <w:rFonts w:ascii="等线" w:eastAsia="等线" w:hAnsi="Times New Roman"/>
          <w:color w:val="000000"/>
        </w:rPr>
      </w:pPr>
      <w:r w:rsidRPr="00BB3F8C">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74CE8D75" w14:textId="77777777" w:rsidR="00BB3F8C" w:rsidRDefault="00BB3F8C" w:rsidP="00BB3F8C">
      <w:pPr>
        <w:pStyle w:val="af5"/>
        <w:numPr>
          <w:ilvl w:val="0"/>
          <w:numId w:val="34"/>
        </w:numPr>
        <w:spacing w:before="120"/>
        <w:ind w:left="690" w:hanging="240"/>
        <w:rPr>
          <w:rFonts w:ascii="等线" w:eastAsia="等线" w:hAnsi="Times New Roman"/>
          <w:color w:val="000000"/>
        </w:rPr>
      </w:pPr>
      <w:r w:rsidRPr="00BB3F8C">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4192D4F0" w14:textId="77777777" w:rsidR="00BB3F8C" w:rsidRDefault="00BB3F8C" w:rsidP="00BB3F8C">
      <w:pPr>
        <w:pStyle w:val="af5"/>
        <w:numPr>
          <w:ilvl w:val="0"/>
          <w:numId w:val="35"/>
        </w:numPr>
        <w:spacing w:before="120"/>
        <w:ind w:left="690" w:hanging="240"/>
        <w:rPr>
          <w:rFonts w:ascii="等线" w:eastAsia="等线" w:hAnsi="Times New Roman"/>
          <w:color w:val="000000"/>
        </w:rPr>
      </w:pPr>
      <w:r w:rsidRPr="00BB3F8C">
        <w:rPr>
          <w:rFonts w:ascii="等线" w:eastAsia="等线" w:hAnsi="Times New Roman"/>
          <w:color w:val="000000"/>
        </w:rPr>
        <w:t>Bank of America Corporation in the HK$10 billion cash disposal of its Hong Kong retail banking operation to China Construction Bank Corporation</w:t>
      </w:r>
    </w:p>
    <w:p w14:paraId="33D64735" w14:textId="77777777" w:rsidR="00BB3F8C" w:rsidRDefault="00BB3F8C" w:rsidP="00BB3F8C">
      <w:pPr>
        <w:pStyle w:val="af5"/>
        <w:spacing w:before="120"/>
        <w:rPr>
          <w:rFonts w:ascii="等线" w:eastAsia="等线" w:hAnsi="Times New Roman"/>
          <w:color w:val="000000"/>
        </w:rPr>
      </w:pPr>
      <w:r w:rsidRPr="00BB3F8C">
        <w:rPr>
          <w:rFonts w:ascii="等线" w:eastAsia="等线" w:hAnsi="Times New Roman"/>
          <w:color w:val="000000"/>
        </w:rPr>
        <w:t>Debt</w:t>
      </w:r>
    </w:p>
    <w:p w14:paraId="52D97FF4" w14:textId="77777777" w:rsidR="00BB3F8C" w:rsidRDefault="00BB3F8C" w:rsidP="00BB3F8C">
      <w:pPr>
        <w:pStyle w:val="af5"/>
        <w:numPr>
          <w:ilvl w:val="0"/>
          <w:numId w:val="36"/>
        </w:numPr>
        <w:spacing w:before="120"/>
        <w:ind w:left="690" w:hanging="240"/>
        <w:rPr>
          <w:rFonts w:ascii="等线" w:eastAsia="等线" w:hAnsi="Times New Roman"/>
          <w:color w:val="000000"/>
        </w:rPr>
      </w:pPr>
      <w:r w:rsidRPr="00BB3F8C">
        <w:rPr>
          <w:rFonts w:ascii="等线" w:eastAsia="等线" w:hAnsi="Times New Roman"/>
          <w:color w:val="000000"/>
        </w:rPr>
        <w:t>Wuzhou International Holdings Limited in its offering of US$100 million 7.00% Convertible Notes due 2019</w:t>
      </w:r>
    </w:p>
    <w:p w14:paraId="6E5765B9" w14:textId="77777777" w:rsidR="00BB3F8C" w:rsidRDefault="00BB3F8C" w:rsidP="00BB3F8C">
      <w:pPr>
        <w:pStyle w:val="af5"/>
        <w:numPr>
          <w:ilvl w:val="0"/>
          <w:numId w:val="37"/>
        </w:numPr>
        <w:spacing w:before="120"/>
        <w:ind w:left="690" w:hanging="240"/>
        <w:rPr>
          <w:rFonts w:ascii="等线" w:eastAsia="等线" w:hAnsi="Times New Roman"/>
          <w:color w:val="000000"/>
        </w:rPr>
      </w:pPr>
      <w:r w:rsidRPr="00BB3F8C">
        <w:rPr>
          <w:rFonts w:ascii="等线" w:eastAsia="等线" w:hAnsi="Times New Roman"/>
          <w:color w:val="000000"/>
        </w:rPr>
        <w:t>Wuzhou International Holdings Limited in its 2013 offering of US$100 million 13.75% Senior Notes due 2018 which were subsequently consolidated to form a single class with a US$100 million in aggregate principal amount of 13.75% Senior Notes due 2018 and listed on the Singapore Stock Exchange</w:t>
      </w:r>
    </w:p>
    <w:p w14:paraId="0493DCD0" w14:textId="77777777" w:rsidR="00BB3F8C" w:rsidRDefault="00BB3F8C" w:rsidP="00BB3F8C">
      <w:pPr>
        <w:pStyle w:val="af5"/>
        <w:numPr>
          <w:ilvl w:val="0"/>
          <w:numId w:val="38"/>
        </w:numPr>
        <w:spacing w:before="120"/>
        <w:ind w:left="690" w:hanging="240"/>
        <w:rPr>
          <w:rFonts w:ascii="等线" w:eastAsia="等线" w:hAnsi="Times New Roman"/>
          <w:color w:val="000000"/>
        </w:rPr>
      </w:pPr>
      <w:r w:rsidRPr="00BB3F8C">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3FE7604B" w14:textId="77777777" w:rsidR="00BB3F8C" w:rsidRDefault="00BB3F8C" w:rsidP="00BB3F8C">
      <w:pPr>
        <w:pStyle w:val="af5"/>
        <w:numPr>
          <w:ilvl w:val="0"/>
          <w:numId w:val="39"/>
        </w:numPr>
        <w:spacing w:before="120"/>
        <w:ind w:left="690" w:hanging="240"/>
        <w:rPr>
          <w:rFonts w:ascii="等线" w:eastAsia="等线" w:hAnsi="Times New Roman"/>
          <w:color w:val="000000"/>
        </w:rPr>
      </w:pPr>
      <w:r w:rsidRPr="00BB3F8C">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22555C9A" w14:textId="77777777" w:rsidR="00BB3F8C" w:rsidRDefault="00BB3F8C" w:rsidP="00BB3F8C">
      <w:pPr>
        <w:pStyle w:val="af5"/>
        <w:numPr>
          <w:ilvl w:val="0"/>
          <w:numId w:val="40"/>
        </w:numPr>
        <w:spacing w:before="120"/>
        <w:ind w:left="690" w:hanging="240"/>
        <w:rPr>
          <w:rFonts w:ascii="等线" w:eastAsia="等线" w:hAnsi="Times New Roman"/>
          <w:color w:val="000000"/>
        </w:rPr>
      </w:pPr>
      <w:r w:rsidRPr="00BB3F8C">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600FECAF" w14:textId="77777777" w:rsidR="00BB3F8C" w:rsidRDefault="00BB3F8C" w:rsidP="00BB3F8C">
      <w:pPr>
        <w:pStyle w:val="af5"/>
        <w:numPr>
          <w:ilvl w:val="0"/>
          <w:numId w:val="41"/>
        </w:numPr>
        <w:spacing w:before="120"/>
        <w:ind w:left="690" w:hanging="240"/>
        <w:rPr>
          <w:rFonts w:ascii="等线" w:eastAsia="等线" w:hAnsi="Times New Roman"/>
          <w:color w:val="000000"/>
        </w:rPr>
      </w:pPr>
      <w:r w:rsidRPr="00BB3F8C">
        <w:rPr>
          <w:rFonts w:ascii="等线" w:eastAsia="等线" w:hAnsi="Times New Roman"/>
          <w:color w:val="000000"/>
        </w:rPr>
        <w:t>Future Land Development Holdings Limited, a PRC property developer, in its offering of US$250 million 6.25% Senior Notes due 2017</w:t>
      </w:r>
    </w:p>
    <w:p w14:paraId="494B2EC5" w14:textId="77777777" w:rsidR="00BB3F8C" w:rsidRDefault="00BB3F8C" w:rsidP="00BB3F8C">
      <w:pPr>
        <w:pStyle w:val="af5"/>
        <w:numPr>
          <w:ilvl w:val="0"/>
          <w:numId w:val="42"/>
        </w:numPr>
        <w:spacing w:before="120"/>
        <w:ind w:left="690" w:hanging="240"/>
        <w:rPr>
          <w:rFonts w:ascii="等线" w:eastAsia="等线" w:hAnsi="Times New Roman"/>
          <w:color w:val="000000"/>
        </w:rPr>
      </w:pPr>
      <w:r w:rsidRPr="00BB3F8C">
        <w:rPr>
          <w:rFonts w:ascii="等线" w:eastAsia="等线" w:hAnsi="Times New Roman"/>
          <w:color w:val="000000"/>
        </w:rPr>
        <w:t>Future Land Development Holdings Limited in its offering of US$350 million 10.25% Senior Notes due 2019 issued in 2014</w:t>
      </w:r>
    </w:p>
    <w:p w14:paraId="6C93D737" w14:textId="77777777" w:rsidR="00BB3F8C" w:rsidRDefault="00BB3F8C" w:rsidP="00BB3F8C">
      <w:pPr>
        <w:pStyle w:val="af5"/>
        <w:numPr>
          <w:ilvl w:val="0"/>
          <w:numId w:val="43"/>
        </w:numPr>
        <w:spacing w:before="120"/>
        <w:ind w:left="690" w:hanging="240"/>
        <w:rPr>
          <w:rFonts w:ascii="等线" w:eastAsia="等线" w:hAnsi="Times New Roman"/>
          <w:color w:val="000000"/>
        </w:rPr>
      </w:pPr>
      <w:r w:rsidRPr="00BB3F8C">
        <w:rPr>
          <w:rFonts w:ascii="等线" w:eastAsia="等线" w:hAnsi="Times New Roman"/>
          <w:color w:val="000000"/>
        </w:rPr>
        <w:t>Future Land Development Holdings Limited in its offering of US$200 million 10.25% Senior Notes due 2018 and subsequent redemption in 2015</w:t>
      </w:r>
    </w:p>
    <w:p w14:paraId="2AA2A7CE" w14:textId="77777777" w:rsidR="00BB3F8C" w:rsidRDefault="00BB3F8C" w:rsidP="00BB3F8C">
      <w:pPr>
        <w:pStyle w:val="af5"/>
        <w:numPr>
          <w:ilvl w:val="0"/>
          <w:numId w:val="44"/>
        </w:numPr>
        <w:spacing w:before="120"/>
        <w:ind w:left="690" w:hanging="240"/>
        <w:rPr>
          <w:rFonts w:ascii="等线" w:eastAsia="等线" w:hAnsi="Times New Roman"/>
          <w:color w:val="000000"/>
        </w:rPr>
      </w:pPr>
      <w:r w:rsidRPr="00BB3F8C">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53A44D60" w14:textId="77777777" w:rsidR="00BB3F8C" w:rsidRDefault="00BB3F8C" w:rsidP="00BB3F8C">
      <w:pPr>
        <w:pStyle w:val="af5"/>
        <w:numPr>
          <w:ilvl w:val="0"/>
          <w:numId w:val="45"/>
        </w:numPr>
        <w:spacing w:before="120"/>
        <w:ind w:left="690" w:hanging="240"/>
        <w:rPr>
          <w:rFonts w:ascii="等线" w:eastAsia="等线" w:hAnsi="Times New Roman"/>
          <w:color w:val="000000"/>
        </w:rPr>
      </w:pPr>
      <w:r w:rsidRPr="00BB3F8C">
        <w:rPr>
          <w:rFonts w:ascii="等线" w:eastAsia="等线" w:hAnsi="Times New Roman"/>
          <w:color w:val="000000"/>
        </w:rPr>
        <w:t>China XD Plastics Company Limited in connection with the issuance of US$150 million 11.75% Senior Notes due 2019 issued in 2014</w:t>
      </w:r>
    </w:p>
    <w:p w14:paraId="107A614E" w14:textId="77777777" w:rsidR="00BB3F8C" w:rsidRDefault="00BB3F8C" w:rsidP="00BB3F8C">
      <w:pPr>
        <w:pStyle w:val="af5"/>
        <w:spacing w:before="120"/>
        <w:rPr>
          <w:rFonts w:ascii="等线" w:eastAsia="等线" w:hAnsi="Times New Roman"/>
          <w:color w:val="000000"/>
        </w:rPr>
      </w:pPr>
      <w:r w:rsidRPr="00BB3F8C">
        <w:rPr>
          <w:rFonts w:ascii="等线" w:eastAsia="等线" w:hAnsi="Times New Roman"/>
          <w:color w:val="000000"/>
        </w:rPr>
        <w:t>Other</w:t>
      </w:r>
    </w:p>
    <w:p w14:paraId="516798B9" w14:textId="77777777" w:rsidR="00BB3F8C" w:rsidRDefault="00BB3F8C" w:rsidP="00BB3F8C">
      <w:pPr>
        <w:pStyle w:val="af5"/>
        <w:numPr>
          <w:ilvl w:val="0"/>
          <w:numId w:val="46"/>
        </w:numPr>
        <w:spacing w:before="120"/>
        <w:ind w:left="690" w:hanging="240"/>
        <w:rPr>
          <w:rFonts w:ascii="等线" w:eastAsia="等线" w:hAnsi="Times New Roman"/>
          <w:color w:val="000000"/>
        </w:rPr>
      </w:pPr>
      <w:r w:rsidRPr="00BB3F8C">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2958EA10" w14:textId="77777777" w:rsidR="00BB3F8C" w:rsidRDefault="00BB3F8C" w:rsidP="00BB3F8C">
      <w:pPr>
        <w:pStyle w:val="af5"/>
        <w:numPr>
          <w:ilvl w:val="0"/>
          <w:numId w:val="47"/>
        </w:numPr>
        <w:spacing w:before="120"/>
        <w:ind w:left="690" w:hanging="240"/>
        <w:rPr>
          <w:rFonts w:ascii="等线" w:eastAsia="等线" w:hAnsi="Times New Roman"/>
          <w:color w:val="000000"/>
        </w:rPr>
      </w:pPr>
      <w:r w:rsidRPr="00BB3F8C">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52FE607D" w14:textId="77777777" w:rsidR="00BB3F8C" w:rsidRDefault="00BB3F8C" w:rsidP="00BB3F8C">
      <w:pPr>
        <w:pStyle w:val="af5"/>
        <w:numPr>
          <w:ilvl w:val="0"/>
          <w:numId w:val="48"/>
        </w:numPr>
        <w:spacing w:before="120"/>
        <w:ind w:left="690" w:hanging="240"/>
        <w:rPr>
          <w:rFonts w:ascii="等线" w:eastAsia="等线" w:hAnsi="Times New Roman"/>
          <w:color w:val="000000"/>
        </w:rPr>
      </w:pPr>
      <w:r w:rsidRPr="00BB3F8C">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4A2F7FD2" w14:textId="77777777" w:rsidR="00BB3F8C" w:rsidRDefault="00BB3F8C" w:rsidP="00BB3F8C">
      <w:pPr>
        <w:pStyle w:val="af5"/>
        <w:numPr>
          <w:ilvl w:val="0"/>
          <w:numId w:val="49"/>
        </w:numPr>
        <w:spacing w:before="120"/>
        <w:ind w:left="690" w:hanging="240"/>
        <w:rPr>
          <w:rFonts w:ascii="等线" w:eastAsia="等线" w:hAnsi="Times New Roman"/>
          <w:color w:val="000000"/>
        </w:rPr>
      </w:pPr>
      <w:r w:rsidRPr="00BB3F8C">
        <w:rPr>
          <w:rFonts w:ascii="等线" w:eastAsia="等线" w:hAnsi="Times New Roman"/>
          <w:color w:val="000000"/>
        </w:rPr>
        <w:t>Munsun Absolute Fund in its HK$300 million Secured Term Loan Facility from Bliss Best Limited</w:t>
      </w:r>
    </w:p>
    <w:p w14:paraId="6D99C964" w14:textId="77777777" w:rsidR="00BB3F8C" w:rsidRDefault="00BB3F8C" w:rsidP="00BB3F8C">
      <w:pPr>
        <w:pStyle w:val="af5"/>
        <w:numPr>
          <w:ilvl w:val="0"/>
          <w:numId w:val="50"/>
        </w:numPr>
        <w:spacing w:before="120"/>
        <w:ind w:left="690" w:hanging="240"/>
        <w:rPr>
          <w:rFonts w:ascii="等线" w:eastAsia="等线" w:hAnsi="Times New Roman"/>
          <w:color w:val="000000"/>
        </w:rPr>
      </w:pPr>
      <w:r w:rsidRPr="00BB3F8C">
        <w:rPr>
          <w:rFonts w:ascii="等线" w:eastAsia="等线" w:hAnsi="Times New Roman"/>
          <w:color w:val="000000"/>
        </w:rPr>
        <w:t>Asian Development Bank in its US$100 million Credit Facility to Far East Horizon Limited</w:t>
      </w:r>
    </w:p>
    <w:p w14:paraId="0491E6BB" w14:textId="77777777" w:rsidR="00BB3F8C" w:rsidRDefault="00BB3F8C" w:rsidP="00BB3F8C">
      <w:pPr>
        <w:pStyle w:val="af5"/>
        <w:numPr>
          <w:ilvl w:val="0"/>
          <w:numId w:val="51"/>
        </w:numPr>
        <w:spacing w:before="120"/>
        <w:ind w:left="690" w:hanging="240"/>
        <w:rPr>
          <w:rFonts w:ascii="等线" w:eastAsia="等线" w:hAnsi="Times New Roman"/>
          <w:color w:val="000000"/>
        </w:rPr>
      </w:pPr>
      <w:r w:rsidRPr="00BB3F8C">
        <w:rPr>
          <w:rFonts w:ascii="等线" w:eastAsia="等线" w:hAnsi="Times New Roman"/>
          <w:color w:val="000000"/>
        </w:rPr>
        <w:t>International Finance Corporation in its US$40 million Secured Loan to China Flooring Holding Co. Ltd.</w:t>
      </w:r>
    </w:p>
    <w:p w14:paraId="03C8D0D0" w14:textId="77777777" w:rsidR="00BB3F8C" w:rsidRDefault="00BB3F8C" w:rsidP="00BB3F8C">
      <w:pPr>
        <w:pStyle w:val="af5"/>
        <w:spacing w:after="0" w:line="480" w:lineRule="auto"/>
        <w:rPr>
          <w:rFonts w:ascii="等线" w:eastAsia="等线" w:hAnsi="等线"/>
          <w:b/>
          <w:sz w:val="24"/>
        </w:rPr>
      </w:pPr>
      <w:r w:rsidRPr="00BB3F8C">
        <w:rPr>
          <w:rFonts w:ascii="等线" w:eastAsia="等线" w:hAnsi="等线"/>
          <w:b/>
          <w:sz w:val="24"/>
        </w:rPr>
        <w:t>Education</w:t>
      </w:r>
    </w:p>
    <w:p w14:paraId="7E8398D5" w14:textId="77777777" w:rsidR="00BB3F8C" w:rsidRDefault="00BB3F8C" w:rsidP="00BB3F8C">
      <w:pPr>
        <w:pStyle w:val="af5"/>
        <w:numPr>
          <w:ilvl w:val="0"/>
          <w:numId w:val="52"/>
        </w:numPr>
        <w:spacing w:before="120"/>
        <w:ind w:left="690" w:hanging="240"/>
        <w:rPr>
          <w:rFonts w:ascii="等线" w:eastAsia="等线" w:hAnsi="Times New Roman"/>
          <w:color w:val="000000"/>
        </w:rPr>
      </w:pPr>
      <w:r w:rsidRPr="00BB3F8C">
        <w:rPr>
          <w:rFonts w:ascii="等线" w:eastAsia="等线" w:hAnsi="Times New Roman"/>
          <w:color w:val="000000"/>
        </w:rPr>
        <w:t>New York University School of Law, LLM in Corporate Law</w:t>
      </w:r>
    </w:p>
    <w:p w14:paraId="2E144CFB" w14:textId="77777777" w:rsidR="00BB3F8C" w:rsidRDefault="00BB3F8C" w:rsidP="00BB3F8C">
      <w:pPr>
        <w:pStyle w:val="af5"/>
        <w:numPr>
          <w:ilvl w:val="0"/>
          <w:numId w:val="53"/>
        </w:numPr>
        <w:spacing w:before="120"/>
        <w:ind w:left="690" w:hanging="240"/>
        <w:rPr>
          <w:rFonts w:ascii="等线" w:eastAsia="等线" w:hAnsi="Times New Roman"/>
          <w:color w:val="000000"/>
        </w:rPr>
      </w:pPr>
      <w:r w:rsidRPr="00BB3F8C">
        <w:rPr>
          <w:rFonts w:ascii="等线" w:eastAsia="等线" w:hAnsi="Times New Roman"/>
          <w:color w:val="000000"/>
        </w:rPr>
        <w:t>King</w:t>
      </w:r>
      <w:r w:rsidRPr="00BB3F8C">
        <w:rPr>
          <w:rFonts w:ascii="等线" w:eastAsia="等线" w:hAnsi="Times New Roman"/>
          <w:color w:val="000000"/>
        </w:rPr>
        <w:t>’</w:t>
      </w:r>
      <w:r w:rsidRPr="00BB3F8C">
        <w:rPr>
          <w:rFonts w:ascii="等线" w:eastAsia="等线" w:hAnsi="Times New Roman"/>
          <w:color w:val="000000"/>
        </w:rPr>
        <w:t>s College London, LLB</w:t>
      </w:r>
    </w:p>
    <w:p w14:paraId="3FC52275" w14:textId="77777777" w:rsidR="00BB3F8C" w:rsidRDefault="00BB3F8C" w:rsidP="00BB3F8C">
      <w:pPr>
        <w:pStyle w:val="af5"/>
        <w:spacing w:after="0" w:line="480" w:lineRule="auto"/>
        <w:rPr>
          <w:rFonts w:ascii="等线" w:eastAsia="等线" w:hAnsi="等线"/>
          <w:b/>
          <w:sz w:val="24"/>
        </w:rPr>
      </w:pPr>
      <w:r w:rsidRPr="00BB3F8C">
        <w:rPr>
          <w:rFonts w:ascii="等线" w:eastAsia="等线" w:hAnsi="等线"/>
          <w:b/>
          <w:sz w:val="24"/>
        </w:rPr>
        <w:t>Professional Qualification</w:t>
      </w:r>
    </w:p>
    <w:p w14:paraId="5F6E4CC8" w14:textId="77777777" w:rsidR="00BB3F8C" w:rsidRDefault="00BB3F8C" w:rsidP="00BB3F8C">
      <w:pPr>
        <w:pStyle w:val="af5"/>
        <w:numPr>
          <w:ilvl w:val="0"/>
          <w:numId w:val="54"/>
        </w:numPr>
        <w:spacing w:before="120"/>
        <w:ind w:left="690" w:hanging="240"/>
        <w:rPr>
          <w:rFonts w:ascii="等线" w:eastAsia="等线" w:hAnsi="Times New Roman"/>
          <w:color w:val="000000"/>
        </w:rPr>
      </w:pPr>
      <w:r w:rsidRPr="00BB3F8C">
        <w:rPr>
          <w:rFonts w:ascii="等线" w:eastAsia="等线" w:hAnsi="Times New Roman"/>
          <w:color w:val="000000"/>
        </w:rPr>
        <w:t>Admitted to practice in Hong Kong SAR</w:t>
      </w:r>
    </w:p>
    <w:p w14:paraId="01CBE6D9" w14:textId="77777777" w:rsidR="00BB3F8C" w:rsidRDefault="00BB3F8C" w:rsidP="00BB3F8C">
      <w:pPr>
        <w:pStyle w:val="af5"/>
        <w:numPr>
          <w:ilvl w:val="0"/>
          <w:numId w:val="55"/>
        </w:numPr>
        <w:spacing w:before="120"/>
        <w:ind w:left="690" w:hanging="240"/>
        <w:rPr>
          <w:rFonts w:ascii="等线" w:eastAsia="等线" w:hAnsi="Times New Roman"/>
          <w:color w:val="000000"/>
        </w:rPr>
      </w:pPr>
      <w:r w:rsidRPr="00BB3F8C">
        <w:rPr>
          <w:rFonts w:ascii="等线" w:eastAsia="等线" w:hAnsi="Times New Roman"/>
          <w:color w:val="000000"/>
        </w:rPr>
        <w:t>Admitted to practice in New York</w:t>
      </w:r>
    </w:p>
    <w:p w14:paraId="5CC9E548" w14:textId="77777777" w:rsidR="00BB3F8C" w:rsidRDefault="00BB3F8C" w:rsidP="00BB3F8C">
      <w:pPr>
        <w:pStyle w:val="af5"/>
        <w:numPr>
          <w:ilvl w:val="0"/>
          <w:numId w:val="56"/>
        </w:numPr>
        <w:spacing w:before="120"/>
        <w:ind w:left="690" w:hanging="240"/>
        <w:rPr>
          <w:rFonts w:ascii="等线" w:eastAsia="等线" w:hAnsi="Times New Roman"/>
          <w:color w:val="000000"/>
        </w:rPr>
      </w:pPr>
      <w:r w:rsidRPr="00BB3F8C">
        <w:rPr>
          <w:rFonts w:ascii="等线" w:eastAsia="等线" w:hAnsi="Times New Roman"/>
          <w:color w:val="000000"/>
        </w:rPr>
        <w:t>Admitted to practice in England and Wales</w:t>
      </w:r>
    </w:p>
    <w:p w14:paraId="76C93065" w14:textId="77777777" w:rsidR="00BB3F8C" w:rsidRDefault="00BB3F8C" w:rsidP="00BB3F8C">
      <w:pPr>
        <w:pStyle w:val="af5"/>
        <w:numPr>
          <w:ilvl w:val="0"/>
          <w:numId w:val="57"/>
        </w:numPr>
        <w:spacing w:before="120"/>
        <w:ind w:left="690" w:hanging="240"/>
        <w:rPr>
          <w:rFonts w:ascii="等线" w:eastAsia="等线" w:hAnsi="Times New Roman"/>
          <w:color w:val="000000"/>
        </w:rPr>
      </w:pPr>
      <w:r w:rsidRPr="00BB3F8C">
        <w:rPr>
          <w:rFonts w:ascii="等线" w:eastAsia="等线" w:hAnsi="Times New Roman"/>
          <w:color w:val="000000"/>
        </w:rPr>
        <w:t>Admitted to practice in Malaysia</w:t>
      </w:r>
    </w:p>
    <w:p w14:paraId="27D3624E" w14:textId="77777777" w:rsidR="00BB3F8C" w:rsidRDefault="00BB3F8C" w:rsidP="00BB3F8C">
      <w:pPr>
        <w:pStyle w:val="af5"/>
        <w:spacing w:after="0" w:line="480" w:lineRule="auto"/>
        <w:rPr>
          <w:rFonts w:ascii="等线" w:eastAsia="等线" w:hAnsi="等线"/>
          <w:b/>
          <w:sz w:val="24"/>
        </w:rPr>
      </w:pPr>
      <w:r w:rsidRPr="00BB3F8C">
        <w:rPr>
          <w:rFonts w:ascii="等线" w:eastAsia="等线" w:hAnsi="等线"/>
          <w:b/>
          <w:sz w:val="24"/>
        </w:rPr>
        <w:t>Work Language</w:t>
      </w:r>
    </w:p>
    <w:p w14:paraId="0C9E733C" w14:textId="77777777" w:rsidR="00BB3F8C" w:rsidRDefault="00BB3F8C" w:rsidP="00BB3F8C">
      <w:pPr>
        <w:pStyle w:val="af5"/>
        <w:numPr>
          <w:ilvl w:val="0"/>
          <w:numId w:val="58"/>
        </w:numPr>
        <w:spacing w:before="120"/>
        <w:ind w:left="690" w:hanging="240"/>
        <w:rPr>
          <w:rFonts w:ascii="等线" w:eastAsia="等线" w:hAnsi="Times New Roman"/>
          <w:color w:val="000000"/>
        </w:rPr>
      </w:pPr>
      <w:r w:rsidRPr="00BB3F8C">
        <w:rPr>
          <w:rFonts w:ascii="等线" w:eastAsia="等线" w:hAnsi="Times New Roman"/>
          <w:color w:val="000000"/>
        </w:rPr>
        <w:t>English</w:t>
      </w:r>
    </w:p>
    <w:p w14:paraId="31A4D78F" w14:textId="77777777" w:rsidR="00BB3F8C" w:rsidRDefault="00BB3F8C" w:rsidP="00BB3F8C">
      <w:pPr>
        <w:pStyle w:val="af5"/>
        <w:numPr>
          <w:ilvl w:val="0"/>
          <w:numId w:val="59"/>
        </w:numPr>
        <w:spacing w:before="120"/>
        <w:ind w:left="690" w:hanging="240"/>
        <w:rPr>
          <w:rFonts w:ascii="等线" w:eastAsia="等线" w:hAnsi="Times New Roman"/>
          <w:color w:val="000000"/>
        </w:rPr>
      </w:pPr>
      <w:r w:rsidRPr="00BB3F8C">
        <w:rPr>
          <w:rFonts w:ascii="等线" w:eastAsia="等线" w:hAnsi="Times New Roman"/>
          <w:color w:val="000000"/>
        </w:rPr>
        <w:t>Mandarin Chinese</w:t>
      </w:r>
    </w:p>
    <w:p w14:paraId="476E5E8E" w14:textId="77777777" w:rsidR="00BB3F8C" w:rsidRDefault="00BB3F8C" w:rsidP="00BB3F8C">
      <w:pPr>
        <w:pStyle w:val="af5"/>
        <w:numPr>
          <w:ilvl w:val="0"/>
          <w:numId w:val="60"/>
        </w:numPr>
        <w:spacing w:before="120"/>
        <w:ind w:left="690" w:hanging="240"/>
        <w:rPr>
          <w:rFonts w:ascii="等线" w:eastAsia="等线" w:hAnsi="Times New Roman"/>
          <w:color w:val="000000"/>
        </w:rPr>
      </w:pPr>
      <w:r w:rsidRPr="00BB3F8C">
        <w:rPr>
          <w:rFonts w:ascii="等线" w:eastAsia="等线" w:hAnsi="Times New Roman"/>
          <w:color w:val="000000"/>
        </w:rPr>
        <w:t>Cantonese</w:t>
      </w:r>
    </w:p>
    <w:p w14:paraId="5567FC3C" w14:textId="702E3E95" w:rsidR="00686369" w:rsidRPr="00BB3F8C" w:rsidRDefault="00BB3F8C" w:rsidP="00BB3F8C">
      <w:pPr>
        <w:pStyle w:val="af5"/>
        <w:numPr>
          <w:ilvl w:val="0"/>
          <w:numId w:val="61"/>
        </w:numPr>
        <w:spacing w:before="120"/>
        <w:ind w:left="690" w:hanging="240"/>
        <w:rPr>
          <w:rFonts w:ascii="等线" w:eastAsia="等线" w:hAnsi="Times New Roman"/>
          <w:color w:val="000000"/>
        </w:rPr>
      </w:pPr>
      <w:r w:rsidRPr="00BB3F8C">
        <w:rPr>
          <w:rFonts w:ascii="等线" w:eastAsia="等线" w:hAnsi="Times New Roman"/>
          <w:color w:val="000000"/>
        </w:rPr>
        <w:t>Malay</w:t>
      </w:r>
    </w:p>
    <w:sectPr w:rsidR="00686369" w:rsidRPr="00BB3F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C6FA8"/>
    <w:multiLevelType w:val="singleLevel"/>
    <w:tmpl w:val="D3A4E1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CA5FBF"/>
    <w:multiLevelType w:val="singleLevel"/>
    <w:tmpl w:val="3EEC41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C32C6"/>
    <w:multiLevelType w:val="singleLevel"/>
    <w:tmpl w:val="66AE92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C1160"/>
    <w:multiLevelType w:val="singleLevel"/>
    <w:tmpl w:val="5C989A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40B94"/>
    <w:multiLevelType w:val="singleLevel"/>
    <w:tmpl w:val="12A211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01E61"/>
    <w:multiLevelType w:val="singleLevel"/>
    <w:tmpl w:val="2FB828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10D7D"/>
    <w:multiLevelType w:val="singleLevel"/>
    <w:tmpl w:val="FDB6D6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FC130F"/>
    <w:multiLevelType w:val="singleLevel"/>
    <w:tmpl w:val="724657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0E4D07"/>
    <w:multiLevelType w:val="singleLevel"/>
    <w:tmpl w:val="B2D41E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0E6436"/>
    <w:multiLevelType w:val="singleLevel"/>
    <w:tmpl w:val="C85E64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FC7CE4"/>
    <w:multiLevelType w:val="singleLevel"/>
    <w:tmpl w:val="C8CA84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7934D3"/>
    <w:multiLevelType w:val="singleLevel"/>
    <w:tmpl w:val="0444E1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082461"/>
    <w:multiLevelType w:val="singleLevel"/>
    <w:tmpl w:val="C39848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FF01B6"/>
    <w:multiLevelType w:val="singleLevel"/>
    <w:tmpl w:val="2326F3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CA0A18"/>
    <w:multiLevelType w:val="singleLevel"/>
    <w:tmpl w:val="E4C628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EA481D"/>
    <w:multiLevelType w:val="singleLevel"/>
    <w:tmpl w:val="5F50E0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437913"/>
    <w:multiLevelType w:val="singleLevel"/>
    <w:tmpl w:val="43FED1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B15475"/>
    <w:multiLevelType w:val="singleLevel"/>
    <w:tmpl w:val="6DB064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AF6DC5"/>
    <w:multiLevelType w:val="singleLevel"/>
    <w:tmpl w:val="CB2E31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583063"/>
    <w:multiLevelType w:val="singleLevel"/>
    <w:tmpl w:val="C64273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DE633E"/>
    <w:multiLevelType w:val="singleLevel"/>
    <w:tmpl w:val="E30E47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8B22D5"/>
    <w:multiLevelType w:val="singleLevel"/>
    <w:tmpl w:val="724657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6924F3"/>
    <w:multiLevelType w:val="singleLevel"/>
    <w:tmpl w:val="8A08C4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1D0328"/>
    <w:multiLevelType w:val="singleLevel"/>
    <w:tmpl w:val="CA2234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CF70AF"/>
    <w:multiLevelType w:val="singleLevel"/>
    <w:tmpl w:val="13DC50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4762E0"/>
    <w:multiLevelType w:val="singleLevel"/>
    <w:tmpl w:val="62C0C0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5D39FC"/>
    <w:multiLevelType w:val="singleLevel"/>
    <w:tmpl w:val="0CFC7F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4A0738"/>
    <w:multiLevelType w:val="singleLevel"/>
    <w:tmpl w:val="FDBE2E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021F84"/>
    <w:multiLevelType w:val="singleLevel"/>
    <w:tmpl w:val="0E7635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2C2406"/>
    <w:multiLevelType w:val="singleLevel"/>
    <w:tmpl w:val="4BF688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C77F46"/>
    <w:multiLevelType w:val="singleLevel"/>
    <w:tmpl w:val="A00C66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367C06"/>
    <w:multiLevelType w:val="singleLevel"/>
    <w:tmpl w:val="2D5A4D6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A71B98"/>
    <w:multiLevelType w:val="singleLevel"/>
    <w:tmpl w:val="186E7E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A57027"/>
    <w:multiLevelType w:val="singleLevel"/>
    <w:tmpl w:val="BF827E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462FF5"/>
    <w:multiLevelType w:val="singleLevel"/>
    <w:tmpl w:val="792C2E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86E5952"/>
    <w:multiLevelType w:val="singleLevel"/>
    <w:tmpl w:val="2D4E5F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7811EA"/>
    <w:multiLevelType w:val="singleLevel"/>
    <w:tmpl w:val="C8EA6D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8D2B2D"/>
    <w:multiLevelType w:val="singleLevel"/>
    <w:tmpl w:val="C9EE38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0B74BA"/>
    <w:multiLevelType w:val="singleLevel"/>
    <w:tmpl w:val="AAEE02F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031892"/>
    <w:multiLevelType w:val="singleLevel"/>
    <w:tmpl w:val="2FE4B9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CA0EAE"/>
    <w:multiLevelType w:val="singleLevel"/>
    <w:tmpl w:val="80E6617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4E6ACB"/>
    <w:multiLevelType w:val="singleLevel"/>
    <w:tmpl w:val="3FBA566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D91A71"/>
    <w:multiLevelType w:val="singleLevel"/>
    <w:tmpl w:val="DA34AED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B2167B"/>
    <w:multiLevelType w:val="singleLevel"/>
    <w:tmpl w:val="D38898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C05FDD"/>
    <w:multiLevelType w:val="singleLevel"/>
    <w:tmpl w:val="4AEA882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A373161"/>
    <w:multiLevelType w:val="singleLevel"/>
    <w:tmpl w:val="CF080DC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CE3FD5"/>
    <w:multiLevelType w:val="singleLevel"/>
    <w:tmpl w:val="3A228EE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101A30"/>
    <w:multiLevelType w:val="singleLevel"/>
    <w:tmpl w:val="54EAFDC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E1E68E6"/>
    <w:multiLevelType w:val="singleLevel"/>
    <w:tmpl w:val="5C5C95B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DA0B4F"/>
    <w:multiLevelType w:val="singleLevel"/>
    <w:tmpl w:val="C9BE17A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F94FC2"/>
    <w:multiLevelType w:val="singleLevel"/>
    <w:tmpl w:val="744E60D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B1B3ADE"/>
    <w:multiLevelType w:val="singleLevel"/>
    <w:tmpl w:val="7856F38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EB43B2F"/>
    <w:multiLevelType w:val="singleLevel"/>
    <w:tmpl w:val="776A992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D960D9"/>
    <w:multiLevelType w:val="singleLevel"/>
    <w:tmpl w:val="95B0110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24A5981"/>
    <w:multiLevelType w:val="singleLevel"/>
    <w:tmpl w:val="8DAC90E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3E32237"/>
    <w:multiLevelType w:val="singleLevel"/>
    <w:tmpl w:val="CDAA968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A418AA"/>
    <w:multiLevelType w:val="singleLevel"/>
    <w:tmpl w:val="7DDCCBA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76B1F10"/>
    <w:multiLevelType w:val="singleLevel"/>
    <w:tmpl w:val="0A12981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5C180D"/>
    <w:multiLevelType w:val="singleLevel"/>
    <w:tmpl w:val="47B0B85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9725841"/>
    <w:multiLevelType w:val="singleLevel"/>
    <w:tmpl w:val="F68A9C4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627306"/>
    <w:multiLevelType w:val="singleLevel"/>
    <w:tmpl w:val="379EF126"/>
    <w:lvl w:ilvl="0">
      <w:start w:val="1"/>
      <w:numFmt w:val="bullet"/>
      <w:lvlText w:val=""/>
      <w:lvlJc w:val="left"/>
      <w:pPr>
        <w:tabs>
          <w:tab w:val="num" w:pos="200"/>
        </w:tabs>
        <w:ind w:left="200" w:hanging="200"/>
      </w:pPr>
      <w:rPr>
        <w:rFonts w:ascii="Wingdings" w:hAnsi="Wingdings" w:hint="default"/>
        <w:sz w:val="16"/>
      </w:rPr>
    </w:lvl>
  </w:abstractNum>
  <w:num w:numId="1">
    <w:abstractNumId w:val="59"/>
  </w:num>
  <w:num w:numId="2">
    <w:abstractNumId w:val="40"/>
  </w:num>
  <w:num w:numId="3">
    <w:abstractNumId w:val="48"/>
  </w:num>
  <w:num w:numId="4">
    <w:abstractNumId w:val="27"/>
  </w:num>
  <w:num w:numId="5">
    <w:abstractNumId w:val="23"/>
  </w:num>
  <w:num w:numId="6">
    <w:abstractNumId w:val="10"/>
  </w:num>
  <w:num w:numId="7">
    <w:abstractNumId w:val="25"/>
  </w:num>
  <w:num w:numId="8">
    <w:abstractNumId w:val="17"/>
  </w:num>
  <w:num w:numId="9">
    <w:abstractNumId w:val="56"/>
  </w:num>
  <w:num w:numId="10">
    <w:abstractNumId w:val="30"/>
  </w:num>
  <w:num w:numId="11">
    <w:abstractNumId w:val="13"/>
  </w:num>
  <w:num w:numId="12">
    <w:abstractNumId w:val="0"/>
  </w:num>
  <w:num w:numId="13">
    <w:abstractNumId w:val="3"/>
  </w:num>
  <w:num w:numId="14">
    <w:abstractNumId w:val="5"/>
  </w:num>
  <w:num w:numId="15">
    <w:abstractNumId w:val="32"/>
  </w:num>
  <w:num w:numId="16">
    <w:abstractNumId w:val="22"/>
  </w:num>
  <w:num w:numId="17">
    <w:abstractNumId w:val="31"/>
  </w:num>
  <w:num w:numId="18">
    <w:abstractNumId w:val="12"/>
  </w:num>
  <w:num w:numId="19">
    <w:abstractNumId w:val="44"/>
  </w:num>
  <w:num w:numId="20">
    <w:abstractNumId w:val="24"/>
  </w:num>
  <w:num w:numId="21">
    <w:abstractNumId w:val="46"/>
  </w:num>
  <w:num w:numId="22">
    <w:abstractNumId w:val="15"/>
  </w:num>
  <w:num w:numId="23">
    <w:abstractNumId w:val="9"/>
  </w:num>
  <w:num w:numId="24">
    <w:abstractNumId w:val="2"/>
  </w:num>
  <w:num w:numId="25">
    <w:abstractNumId w:val="11"/>
  </w:num>
  <w:num w:numId="26">
    <w:abstractNumId w:val="37"/>
  </w:num>
  <w:num w:numId="27">
    <w:abstractNumId w:val="43"/>
  </w:num>
  <w:num w:numId="28">
    <w:abstractNumId w:val="6"/>
  </w:num>
  <w:num w:numId="29">
    <w:abstractNumId w:val="14"/>
  </w:num>
  <w:num w:numId="30">
    <w:abstractNumId w:val="29"/>
  </w:num>
  <w:num w:numId="31">
    <w:abstractNumId w:val="39"/>
  </w:num>
  <w:num w:numId="32">
    <w:abstractNumId w:val="35"/>
  </w:num>
  <w:num w:numId="33">
    <w:abstractNumId w:val="33"/>
  </w:num>
  <w:num w:numId="34">
    <w:abstractNumId w:val="18"/>
  </w:num>
  <w:num w:numId="35">
    <w:abstractNumId w:val="45"/>
  </w:num>
  <w:num w:numId="36">
    <w:abstractNumId w:val="38"/>
  </w:num>
  <w:num w:numId="37">
    <w:abstractNumId w:val="57"/>
  </w:num>
  <w:num w:numId="38">
    <w:abstractNumId w:val="42"/>
  </w:num>
  <w:num w:numId="39">
    <w:abstractNumId w:val="58"/>
  </w:num>
  <w:num w:numId="40">
    <w:abstractNumId w:val="55"/>
  </w:num>
  <w:num w:numId="41">
    <w:abstractNumId w:val="28"/>
  </w:num>
  <w:num w:numId="42">
    <w:abstractNumId w:val="16"/>
  </w:num>
  <w:num w:numId="43">
    <w:abstractNumId w:val="19"/>
  </w:num>
  <w:num w:numId="44">
    <w:abstractNumId w:val="60"/>
  </w:num>
  <w:num w:numId="45">
    <w:abstractNumId w:val="50"/>
  </w:num>
  <w:num w:numId="46">
    <w:abstractNumId w:val="53"/>
  </w:num>
  <w:num w:numId="47">
    <w:abstractNumId w:val="54"/>
  </w:num>
  <w:num w:numId="48">
    <w:abstractNumId w:val="34"/>
  </w:num>
  <w:num w:numId="49">
    <w:abstractNumId w:val="1"/>
  </w:num>
  <w:num w:numId="50">
    <w:abstractNumId w:val="47"/>
  </w:num>
  <w:num w:numId="51">
    <w:abstractNumId w:val="36"/>
  </w:num>
  <w:num w:numId="52">
    <w:abstractNumId w:val="4"/>
  </w:num>
  <w:num w:numId="53">
    <w:abstractNumId w:val="20"/>
  </w:num>
  <w:num w:numId="54">
    <w:abstractNumId w:val="49"/>
  </w:num>
  <w:num w:numId="55">
    <w:abstractNumId w:val="51"/>
  </w:num>
  <w:num w:numId="56">
    <w:abstractNumId w:val="52"/>
  </w:num>
  <w:num w:numId="57">
    <w:abstractNumId w:val="26"/>
  </w:num>
  <w:num w:numId="58">
    <w:abstractNumId w:val="8"/>
  </w:num>
  <w:num w:numId="59">
    <w:abstractNumId w:val="41"/>
  </w:num>
  <w:num w:numId="60">
    <w:abstractNumId w:val="7"/>
  </w:num>
  <w:num w:numId="61">
    <w:abstractNumId w:val="2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B3F8C"/>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B3F8C"/>
    <w:pPr>
      <w:spacing w:after="120"/>
    </w:pPr>
  </w:style>
  <w:style w:type="character" w:customStyle="1" w:styleId="af6">
    <w:name w:val="正文文本 字符"/>
    <w:basedOn w:val="a0"/>
    <w:link w:val="af5"/>
    <w:uiPriority w:val="99"/>
    <w:rsid w:val="00BB3F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A468C-32A1-4B9F-8210-75C2BDF0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1919</Words>
  <Characters>10943</Characters>
  <Application>Microsoft Office Word</Application>
  <DocSecurity>0</DocSecurity>
  <Lines>91</Lines>
  <Paragraphs>25</Paragraphs>
  <ScaleCrop>false</ScaleCrop>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2026-05-28T18:29:00Z</dcterms:created>
  <dcterms:modified xsi:type="dcterms:W3CDTF">2026-05-28T18:29:00Z</dcterms:modified>
</cp:coreProperties>
</file>