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D26A44D" w:rsidR="0049405C" w:rsidRPr="00C24D79" w:rsidRDefault="003B4AB9" w:rsidP="003B4AB9">
            <w:pPr>
              <w:spacing w:line="720" w:lineRule="auto"/>
              <w:rPr>
                <w:rFonts w:eastAsiaTheme="minorHAnsi"/>
                <w:color w:val="545551"/>
              </w:rPr>
            </w:pPr>
            <w:bookmarkStart w:id="0" w:name="xingming"/>
            <w:bookmarkStart w:id="1" w:name="_GoBack"/>
            <w:bookmarkEnd w:id="1"/>
            <w:r w:rsidRPr="003B4AB9">
              <w:rPr>
                <w:rFonts w:ascii="等线" w:eastAsia="等线" w:hAnsi="Times New Roman"/>
                <w:b/>
                <w:color w:val="000000"/>
                <w:sz w:val="48"/>
              </w:rPr>
              <w:t>DORIS TANG</w:t>
            </w:r>
            <w:bookmarkEnd w:id="0"/>
          </w:p>
          <w:p w14:paraId="706EB16B" w14:textId="7E7A1328" w:rsidR="0049405C" w:rsidRPr="00C24D79" w:rsidRDefault="003B4AB9" w:rsidP="003B4AB9">
            <w:pPr>
              <w:spacing w:line="360" w:lineRule="auto"/>
              <w:rPr>
                <w:rFonts w:eastAsiaTheme="minorHAnsi"/>
                <w:b/>
                <w:bCs/>
                <w:color w:val="545551"/>
              </w:rPr>
            </w:pPr>
            <w:bookmarkStart w:id="2" w:name="didian"/>
            <w:r w:rsidRPr="003B4AB9">
              <w:rPr>
                <w:rFonts w:ascii="等线" w:eastAsia="等线" w:hAnsi="Times New Roman"/>
                <w:b/>
                <w:bCs/>
                <w:color w:val="000000"/>
              </w:rPr>
              <w:t>Partner</w:t>
            </w:r>
            <w:r w:rsidRPr="003B4AB9">
              <w:rPr>
                <w:rFonts w:ascii="等线" w:eastAsia="等线" w:hAnsi="Times New Roman"/>
                <w:b/>
                <w:bCs/>
                <w:color w:val="000000"/>
              </w:rPr>
              <w:t>·</w:t>
            </w:r>
            <w:r w:rsidRPr="003B4AB9">
              <w:rPr>
                <w:rFonts w:ascii="等线" w:eastAsia="等线" w:hAnsi="Times New Roman"/>
                <w:b/>
                <w:bCs/>
                <w:color w:val="000000"/>
              </w:rPr>
              <w:t>Shanghai</w:t>
            </w:r>
            <w:bookmarkEnd w:id="2"/>
          </w:p>
          <w:p w14:paraId="6199424A" w14:textId="2C3DE908" w:rsidR="0049405C" w:rsidRPr="00C24D79" w:rsidRDefault="003B4AB9" w:rsidP="003B4AB9">
            <w:pPr>
              <w:spacing w:line="360" w:lineRule="auto"/>
              <w:rPr>
                <w:rFonts w:eastAsiaTheme="minorHAnsi"/>
                <w:color w:val="545551"/>
              </w:rPr>
            </w:pPr>
            <w:bookmarkStart w:id="3" w:name="dianhua"/>
            <w:r w:rsidRPr="003B4AB9">
              <w:rPr>
                <w:rFonts w:ascii="等线" w:eastAsia="等线" w:hAnsi="Times New Roman"/>
                <w:color w:val="000000"/>
              </w:rPr>
              <w:t xml:space="preserve">+86 21 2208 1017 </w:t>
            </w:r>
            <w:bookmarkEnd w:id="3"/>
          </w:p>
          <w:p w14:paraId="4F910ACA" w14:textId="5E21A95A" w:rsidR="0049405C" w:rsidRPr="00C24D79" w:rsidRDefault="003B4AB9" w:rsidP="003B4AB9">
            <w:pPr>
              <w:spacing w:line="360" w:lineRule="auto"/>
              <w:rPr>
                <w:rFonts w:eastAsiaTheme="minorHAnsi"/>
                <w:color w:val="000000"/>
              </w:rPr>
            </w:pPr>
            <w:bookmarkStart w:id="4" w:name="youxiang"/>
            <w:r w:rsidRPr="003B4AB9">
              <w:rPr>
                <w:rFonts w:ascii="等线" w:eastAsia="等线" w:hAnsi="Times New Roman"/>
                <w:color w:val="000000"/>
              </w:rPr>
              <w:t>dtang@fangdalaw.com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2BCD5A0" w:rsidR="0049405C" w:rsidRPr="00C24D79" w:rsidRDefault="003B4AB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15C0B4E" wp14:editId="63EE1F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C6ACC8B" w:rsidR="009465FB" w:rsidRPr="00C24D79" w:rsidRDefault="003B4AB9" w:rsidP="007177F3">
            <w:pPr>
              <w:rPr>
                <w:rFonts w:eastAsiaTheme="minorHAnsi"/>
                <w:color w:val="000000"/>
                <w:szCs w:val="21"/>
              </w:rPr>
            </w:pPr>
            <w:bookmarkStart w:id="6" w:name="zhiyelingyu"/>
            <w:r w:rsidRPr="003B4AB9">
              <w:rPr>
                <w:rFonts w:ascii="等线" w:eastAsia="等线" w:hAnsi="Times New Roman"/>
                <w:color w:val="000000"/>
                <w:szCs w:val="21"/>
              </w:rPr>
              <w:t>MS. TANG HAS EXTENSIVE EXPERIENCE IN PRIVATE EQUITY, M&amp;A AND OVERSEAS LISTINGS AND SPECIALIZES IN TELECOMMUNICATIONS, MEDIA AND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3BB9E6" w14:textId="77777777" w:rsidR="003B4AB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5A7DD2" w14:textId="77777777" w:rsidR="003B4AB9" w:rsidRDefault="003B4AB9" w:rsidP="003B4AB9">
      <w:pPr>
        <w:pStyle w:val="af5"/>
        <w:spacing w:after="0" w:line="480" w:lineRule="auto"/>
        <w:rPr>
          <w:rFonts w:ascii="等线" w:eastAsia="等线" w:hAnsi="等线"/>
          <w:b/>
          <w:sz w:val="24"/>
        </w:rPr>
      </w:pPr>
      <w:r w:rsidRPr="003B4AB9">
        <w:rPr>
          <w:rFonts w:ascii="等线" w:eastAsia="等线" w:hAnsi="等线"/>
          <w:b/>
          <w:sz w:val="24"/>
        </w:rPr>
        <w:t>REPRESENTATIVE MATTERS AND CASES</w:t>
      </w:r>
    </w:p>
    <w:p w14:paraId="2796363A" w14:textId="77777777" w:rsidR="003B4AB9" w:rsidRDefault="003B4AB9" w:rsidP="003B4AB9">
      <w:pPr>
        <w:pStyle w:val="af5"/>
        <w:spacing w:before="120"/>
        <w:rPr>
          <w:rFonts w:ascii="等线" w:eastAsia="等线" w:hAnsi="Times New Roman"/>
          <w:color w:val="000000"/>
        </w:rPr>
      </w:pPr>
    </w:p>
    <w:p w14:paraId="1664B5FA" w14:textId="77777777" w:rsidR="003B4AB9" w:rsidRDefault="003B4AB9" w:rsidP="003B4AB9">
      <w:pPr>
        <w:pStyle w:val="af5"/>
        <w:numPr>
          <w:ilvl w:val="0"/>
          <w:numId w:val="4"/>
        </w:numPr>
        <w:spacing w:before="120"/>
        <w:ind w:left="690" w:hanging="240"/>
        <w:rPr>
          <w:rFonts w:ascii="等线" w:eastAsia="等线" w:hAnsi="Times New Roman"/>
          <w:color w:val="000000"/>
        </w:rPr>
      </w:pPr>
      <w:r w:rsidRPr="003B4AB9">
        <w:rPr>
          <w:rFonts w:ascii="等线" w:eastAsia="等线" w:hAnsi="Times New Roman"/>
          <w:color w:val="000000"/>
        </w:rPr>
        <w:t>Represented Alibaba Group Holding Limited in its initial public offering on the New York Stock Exchange in 2014 and its secondary listing on the Hong Kong Stock Exchange in 2019</w:t>
      </w:r>
    </w:p>
    <w:p w14:paraId="2C8D91A7" w14:textId="77777777" w:rsidR="003B4AB9" w:rsidRDefault="003B4AB9" w:rsidP="003B4AB9">
      <w:pPr>
        <w:pStyle w:val="af5"/>
        <w:numPr>
          <w:ilvl w:val="0"/>
          <w:numId w:val="5"/>
        </w:numPr>
        <w:spacing w:before="120"/>
        <w:ind w:left="690" w:hanging="240"/>
        <w:rPr>
          <w:rFonts w:ascii="等线" w:eastAsia="等线" w:hAnsi="Times New Roman"/>
          <w:color w:val="000000"/>
        </w:rPr>
      </w:pPr>
      <w:r w:rsidRPr="003B4AB9">
        <w:rPr>
          <w:rFonts w:ascii="等线" w:eastAsia="等线" w:hAnsi="Times New Roman"/>
          <w:color w:val="000000"/>
        </w:rPr>
        <w:t>Represented Budweiser Brewing Company APAC Limited in its initial public offering and listing on the Hong Kong Stock Exchange</w:t>
      </w:r>
    </w:p>
    <w:p w14:paraId="2A6FC5BC" w14:textId="77777777" w:rsidR="003B4AB9" w:rsidRDefault="003B4AB9" w:rsidP="003B4AB9">
      <w:pPr>
        <w:pStyle w:val="af5"/>
        <w:numPr>
          <w:ilvl w:val="0"/>
          <w:numId w:val="6"/>
        </w:numPr>
        <w:spacing w:before="120"/>
        <w:ind w:left="690" w:hanging="240"/>
        <w:rPr>
          <w:rFonts w:ascii="等线" w:eastAsia="等线" w:hAnsi="Times New Roman"/>
          <w:color w:val="000000"/>
        </w:rPr>
      </w:pPr>
      <w:r w:rsidRPr="003B4AB9">
        <w:rPr>
          <w:rFonts w:ascii="等线" w:eastAsia="等线" w:hAnsi="Times New Roman"/>
          <w:color w:val="000000"/>
        </w:rPr>
        <w:t>Represented the sponsor in the initial public offering of Activation Group on the Hong Kong Stock Exchange</w:t>
      </w:r>
    </w:p>
    <w:p w14:paraId="39E17A83" w14:textId="77777777" w:rsidR="003B4AB9" w:rsidRDefault="003B4AB9" w:rsidP="003B4AB9">
      <w:pPr>
        <w:pStyle w:val="af5"/>
        <w:numPr>
          <w:ilvl w:val="0"/>
          <w:numId w:val="7"/>
        </w:numPr>
        <w:spacing w:before="120"/>
        <w:ind w:left="690" w:hanging="240"/>
        <w:rPr>
          <w:rFonts w:ascii="等线" w:eastAsia="等线" w:hAnsi="Times New Roman"/>
          <w:color w:val="000000"/>
        </w:rPr>
      </w:pPr>
      <w:r w:rsidRPr="003B4AB9">
        <w:rPr>
          <w:rFonts w:ascii="等线" w:eastAsia="等线" w:hAnsi="Times New Roman"/>
          <w:color w:val="000000"/>
        </w:rPr>
        <w:t>Represented Liulishuo.com, a leading AI education service provider, in its initial public offering and listing on the New York Stock Exchange in 2018</w:t>
      </w:r>
    </w:p>
    <w:p w14:paraId="025E423E" w14:textId="77777777" w:rsidR="003B4AB9" w:rsidRDefault="003B4AB9" w:rsidP="003B4AB9">
      <w:pPr>
        <w:pStyle w:val="af5"/>
        <w:numPr>
          <w:ilvl w:val="0"/>
          <w:numId w:val="8"/>
        </w:numPr>
        <w:spacing w:before="120"/>
        <w:ind w:left="690" w:hanging="240"/>
        <w:rPr>
          <w:rFonts w:ascii="等线" w:eastAsia="等线" w:hAnsi="Times New Roman"/>
          <w:color w:val="000000"/>
        </w:rPr>
      </w:pPr>
      <w:r w:rsidRPr="003B4AB9">
        <w:rPr>
          <w:rFonts w:ascii="等线" w:eastAsia="等线" w:hAnsi="Times New Roman"/>
          <w:color w:val="000000"/>
        </w:rPr>
        <w:t>Represented J.P. Morgan, Credit Suisse, Citi and other underwriters in the US IPO of GDS, a leading IDC service provider, in its initial public offering as well as in various follow-on offerings</w:t>
      </w:r>
    </w:p>
    <w:p w14:paraId="4C7C913E" w14:textId="77777777" w:rsidR="003B4AB9" w:rsidRDefault="003B4AB9" w:rsidP="003B4AB9">
      <w:pPr>
        <w:pStyle w:val="af5"/>
        <w:numPr>
          <w:ilvl w:val="0"/>
          <w:numId w:val="9"/>
        </w:numPr>
        <w:spacing w:before="120"/>
        <w:ind w:left="690" w:hanging="240"/>
        <w:rPr>
          <w:rFonts w:ascii="等线" w:eastAsia="等线" w:hAnsi="Times New Roman"/>
          <w:color w:val="000000"/>
        </w:rPr>
      </w:pPr>
      <w:r w:rsidRPr="003B4AB9">
        <w:rPr>
          <w:rFonts w:ascii="等线" w:eastAsia="等线" w:hAnsi="Times New Roman"/>
          <w:color w:val="000000"/>
        </w:rPr>
        <w:t>Represented the underwriters in the initial public offering of Zai Lab Limited and its listing on the NASDAQ</w:t>
      </w:r>
    </w:p>
    <w:p w14:paraId="12F4C7CF" w14:textId="77777777" w:rsidR="003B4AB9" w:rsidRDefault="003B4AB9" w:rsidP="003B4AB9">
      <w:pPr>
        <w:pStyle w:val="af5"/>
        <w:numPr>
          <w:ilvl w:val="0"/>
          <w:numId w:val="10"/>
        </w:numPr>
        <w:spacing w:before="120"/>
        <w:ind w:left="690" w:hanging="240"/>
        <w:rPr>
          <w:rFonts w:ascii="等线" w:eastAsia="等线" w:hAnsi="Times New Roman"/>
          <w:color w:val="000000"/>
        </w:rPr>
      </w:pPr>
      <w:r w:rsidRPr="003B4AB9">
        <w:rPr>
          <w:rFonts w:ascii="等线" w:eastAsia="等线" w:hAnsi="Times New Roman"/>
          <w:color w:val="000000"/>
        </w:rPr>
        <w:t>Represented Nomura in the initial public offering and listing on the Main Board of The Stock Exchange of Hong Kong Limited of Nissin Foods, a leading Japanese instant noodle manufacturer</w:t>
      </w:r>
    </w:p>
    <w:p w14:paraId="5B986326" w14:textId="77777777" w:rsidR="003B4AB9" w:rsidRDefault="003B4AB9" w:rsidP="003B4AB9">
      <w:pPr>
        <w:pStyle w:val="af5"/>
        <w:numPr>
          <w:ilvl w:val="0"/>
          <w:numId w:val="11"/>
        </w:numPr>
        <w:spacing w:before="120"/>
        <w:ind w:left="690" w:hanging="240"/>
        <w:rPr>
          <w:rFonts w:ascii="等线" w:eastAsia="等线" w:hAnsi="Times New Roman"/>
          <w:color w:val="000000"/>
        </w:rPr>
      </w:pPr>
      <w:r w:rsidRPr="003B4AB9">
        <w:rPr>
          <w:rFonts w:ascii="等线" w:eastAsia="等线" w:hAnsi="Times New Roman"/>
          <w:color w:val="000000"/>
        </w:rPr>
        <w:t>Represented Baozun Inc., a leading e-commerce solution provider, in its initial public offering on the NASDAQ in 2015 as well as in its daily legal matters and acquisition projects</w:t>
      </w:r>
    </w:p>
    <w:p w14:paraId="7DA31CAD" w14:textId="77777777" w:rsidR="003B4AB9" w:rsidRDefault="003B4AB9" w:rsidP="003B4AB9">
      <w:pPr>
        <w:pStyle w:val="af5"/>
        <w:numPr>
          <w:ilvl w:val="0"/>
          <w:numId w:val="12"/>
        </w:numPr>
        <w:spacing w:before="120"/>
        <w:ind w:left="690" w:hanging="240"/>
        <w:rPr>
          <w:rFonts w:ascii="等线" w:eastAsia="等线" w:hAnsi="Times New Roman"/>
          <w:color w:val="000000"/>
        </w:rPr>
      </w:pPr>
      <w:r w:rsidRPr="003B4AB9">
        <w:rPr>
          <w:rFonts w:ascii="等线" w:eastAsia="等线" w:hAnsi="Times New Roman"/>
          <w:color w:val="000000"/>
        </w:rPr>
        <w:t>Represented Tian Ge Interactive Holdings Limited, a leading live social video services provider in China, in its financing, as well as in its initial public offering and listing on the Main Board of The Stock Exchange of Hong Kong Limited</w:t>
      </w:r>
    </w:p>
    <w:p w14:paraId="425E79D9" w14:textId="77777777" w:rsidR="003B4AB9" w:rsidRDefault="003B4AB9" w:rsidP="003B4AB9">
      <w:pPr>
        <w:pStyle w:val="af5"/>
        <w:numPr>
          <w:ilvl w:val="0"/>
          <w:numId w:val="13"/>
        </w:numPr>
        <w:spacing w:before="120"/>
        <w:ind w:left="690" w:hanging="240"/>
        <w:rPr>
          <w:rFonts w:ascii="等线" w:eastAsia="等线" w:hAnsi="Times New Roman"/>
          <w:color w:val="000000"/>
        </w:rPr>
      </w:pPr>
      <w:r w:rsidRPr="003B4AB9">
        <w:rPr>
          <w:rFonts w:ascii="等线" w:eastAsia="等线" w:hAnsi="Times New Roman"/>
          <w:color w:val="000000"/>
        </w:rPr>
        <w:t>Represented Morgan Stanley in the secondary offering and listing of Fast Retailing (Uniqlo) on the Main Board of The Stock Exchange of Hong Kong Limited</w:t>
      </w:r>
    </w:p>
    <w:p w14:paraId="2A720B8B" w14:textId="77777777" w:rsidR="003B4AB9" w:rsidRDefault="003B4AB9" w:rsidP="003B4AB9">
      <w:pPr>
        <w:pStyle w:val="af5"/>
        <w:numPr>
          <w:ilvl w:val="0"/>
          <w:numId w:val="14"/>
        </w:numPr>
        <w:spacing w:before="120"/>
        <w:ind w:left="690" w:hanging="240"/>
        <w:rPr>
          <w:rFonts w:ascii="等线" w:eastAsia="等线" w:hAnsi="Times New Roman"/>
          <w:color w:val="000000"/>
        </w:rPr>
      </w:pPr>
      <w:r w:rsidRPr="003B4AB9">
        <w:rPr>
          <w:rFonts w:ascii="等线" w:eastAsia="等线" w:hAnsi="Times New Roman"/>
          <w:color w:val="000000"/>
        </w:rPr>
        <w:t>Represented Credit Suisse and China Renaissance in the capacity as underwriters</w:t>
      </w:r>
      <w:r w:rsidRPr="003B4AB9">
        <w:rPr>
          <w:rFonts w:ascii="等线" w:eastAsia="等线" w:hAnsi="Times New Roman"/>
          <w:color w:val="000000"/>
        </w:rPr>
        <w:t>’</w:t>
      </w:r>
      <w:r w:rsidRPr="003B4AB9">
        <w:rPr>
          <w:rFonts w:ascii="等线" w:eastAsia="等线" w:hAnsi="Times New Roman"/>
          <w:color w:val="000000"/>
        </w:rPr>
        <w:t xml:space="preserve"> PRC counsel in the initial public offering of the online gaming service provider Boyaa Interactive International Limited on The Stock Exchange of Hong Kong Limited</w:t>
      </w:r>
    </w:p>
    <w:p w14:paraId="26A913D9" w14:textId="77777777" w:rsidR="003B4AB9" w:rsidRDefault="003B4AB9" w:rsidP="003B4AB9">
      <w:pPr>
        <w:pStyle w:val="af5"/>
        <w:numPr>
          <w:ilvl w:val="0"/>
          <w:numId w:val="15"/>
        </w:numPr>
        <w:spacing w:before="120"/>
        <w:ind w:left="690" w:hanging="240"/>
        <w:rPr>
          <w:rFonts w:ascii="等线" w:eastAsia="等线" w:hAnsi="Times New Roman"/>
          <w:color w:val="000000"/>
        </w:rPr>
      </w:pPr>
      <w:r w:rsidRPr="003B4AB9">
        <w:rPr>
          <w:rFonts w:ascii="等线" w:eastAsia="等线" w:hAnsi="Times New Roman"/>
          <w:color w:val="000000"/>
        </w:rPr>
        <w:t>Represented Alibaba Group in over 30 venture capital and private equity projects in which Alibaba invested in companies in telecommunications and related industries</w:t>
      </w:r>
    </w:p>
    <w:p w14:paraId="4BE5A5B2" w14:textId="77777777" w:rsidR="003B4AB9" w:rsidRDefault="003B4AB9" w:rsidP="003B4AB9">
      <w:pPr>
        <w:pStyle w:val="af5"/>
        <w:numPr>
          <w:ilvl w:val="0"/>
          <w:numId w:val="16"/>
        </w:numPr>
        <w:spacing w:before="120"/>
        <w:ind w:left="690" w:hanging="240"/>
        <w:rPr>
          <w:rFonts w:ascii="等线" w:eastAsia="等线" w:hAnsi="Times New Roman"/>
          <w:color w:val="000000"/>
        </w:rPr>
      </w:pPr>
      <w:r w:rsidRPr="003B4AB9">
        <w:rPr>
          <w:rFonts w:ascii="等线" w:eastAsia="等线" w:hAnsi="Times New Roman"/>
          <w:color w:val="000000"/>
        </w:rPr>
        <w:t>Represented Kanghui China Holdings, a China-based medical implant device manufacturer, in its various rounds of private financing, its initial public offering and listing on the NYSE and its daily legal matters</w:t>
      </w:r>
    </w:p>
    <w:p w14:paraId="0E77AD3E" w14:textId="77777777" w:rsidR="003B4AB9" w:rsidRDefault="003B4AB9" w:rsidP="003B4AB9">
      <w:pPr>
        <w:pStyle w:val="af5"/>
        <w:numPr>
          <w:ilvl w:val="0"/>
          <w:numId w:val="17"/>
        </w:numPr>
        <w:spacing w:before="120"/>
        <w:ind w:left="690" w:hanging="240"/>
        <w:rPr>
          <w:rFonts w:ascii="等线" w:eastAsia="等线" w:hAnsi="Times New Roman"/>
          <w:color w:val="000000"/>
        </w:rPr>
      </w:pPr>
      <w:r w:rsidRPr="003B4AB9">
        <w:rPr>
          <w:rFonts w:ascii="等线" w:eastAsia="等线" w:hAnsi="Times New Roman"/>
          <w:color w:val="000000"/>
        </w:rPr>
        <w:t>Acted for Tudou.com as its PRC counsel for its initial public offering and listing on the NASDAQ, and its merger with Youku.com and advised on daily corporate matters</w:t>
      </w:r>
    </w:p>
    <w:p w14:paraId="3B115C11" w14:textId="77777777" w:rsidR="003B4AB9" w:rsidRDefault="003B4AB9" w:rsidP="003B4AB9">
      <w:pPr>
        <w:pStyle w:val="af5"/>
        <w:numPr>
          <w:ilvl w:val="0"/>
          <w:numId w:val="18"/>
        </w:numPr>
        <w:spacing w:before="120"/>
        <w:ind w:left="690" w:hanging="240"/>
        <w:rPr>
          <w:rFonts w:ascii="等线" w:eastAsia="等线" w:hAnsi="Times New Roman"/>
          <w:color w:val="000000"/>
        </w:rPr>
      </w:pPr>
      <w:r w:rsidRPr="003B4AB9">
        <w:rPr>
          <w:rFonts w:ascii="等线" w:eastAsia="等线" w:hAnsi="Times New Roman"/>
          <w:color w:val="000000"/>
        </w:rPr>
        <w:t>Represented investors led by Baring in the delisting from the New York Stock Exchange and privatization of Giant Interactive Group Inc.</w:t>
      </w:r>
    </w:p>
    <w:p w14:paraId="3752D2AB" w14:textId="77777777" w:rsidR="003B4AB9" w:rsidRDefault="003B4AB9" w:rsidP="003B4AB9">
      <w:pPr>
        <w:pStyle w:val="af5"/>
        <w:numPr>
          <w:ilvl w:val="0"/>
          <w:numId w:val="19"/>
        </w:numPr>
        <w:spacing w:before="120"/>
        <w:ind w:left="690" w:hanging="240"/>
        <w:rPr>
          <w:rFonts w:ascii="等线" w:eastAsia="等线" w:hAnsi="Times New Roman"/>
          <w:color w:val="000000"/>
        </w:rPr>
      </w:pPr>
      <w:r w:rsidRPr="003B4AB9">
        <w:rPr>
          <w:rFonts w:ascii="等线" w:eastAsia="等线" w:hAnsi="Times New Roman"/>
          <w:color w:val="000000"/>
        </w:rPr>
        <w:t>Advised City Development Limited in its investment in mamahome.com, an online platform for serviced apartment booking</w:t>
      </w:r>
    </w:p>
    <w:p w14:paraId="2036DB2A" w14:textId="77777777" w:rsidR="003B4AB9" w:rsidRDefault="003B4AB9" w:rsidP="003B4AB9">
      <w:pPr>
        <w:pStyle w:val="af5"/>
        <w:numPr>
          <w:ilvl w:val="0"/>
          <w:numId w:val="20"/>
        </w:numPr>
        <w:spacing w:before="120"/>
        <w:ind w:left="690" w:hanging="240"/>
        <w:rPr>
          <w:rFonts w:ascii="等线" w:eastAsia="等线" w:hAnsi="Times New Roman"/>
          <w:color w:val="000000"/>
        </w:rPr>
      </w:pPr>
      <w:r w:rsidRPr="003B4AB9">
        <w:rPr>
          <w:rFonts w:ascii="等线" w:eastAsia="等线" w:hAnsi="Times New Roman"/>
          <w:color w:val="000000"/>
        </w:rPr>
        <w:t>Represented Idealsee, a leading VR developer in China, in its reorganization</w:t>
      </w:r>
    </w:p>
    <w:p w14:paraId="34C43ECE" w14:textId="77777777" w:rsidR="003B4AB9" w:rsidRDefault="003B4AB9" w:rsidP="003B4AB9">
      <w:pPr>
        <w:pStyle w:val="af5"/>
        <w:numPr>
          <w:ilvl w:val="0"/>
          <w:numId w:val="21"/>
        </w:numPr>
        <w:spacing w:before="120"/>
        <w:ind w:left="690" w:hanging="240"/>
        <w:rPr>
          <w:rFonts w:ascii="等线" w:eastAsia="等线" w:hAnsi="Times New Roman"/>
          <w:color w:val="000000"/>
        </w:rPr>
      </w:pPr>
      <w:r w:rsidRPr="003B4AB9">
        <w:rPr>
          <w:rFonts w:ascii="等线" w:eastAsia="等线" w:hAnsi="Times New Roman"/>
          <w:color w:val="000000"/>
        </w:rPr>
        <w:t>Represented the joint sponsors and joint bookrunners for the IPO of Sateri Holdings Limited on The Stock Exchange of Hong Kong Limited. Sateri is one of the largest specialty cellulose producers in the world</w:t>
      </w:r>
    </w:p>
    <w:p w14:paraId="24E4BE91" w14:textId="77777777" w:rsidR="003B4AB9" w:rsidRDefault="003B4AB9" w:rsidP="003B4AB9">
      <w:pPr>
        <w:pStyle w:val="af5"/>
        <w:numPr>
          <w:ilvl w:val="0"/>
          <w:numId w:val="22"/>
        </w:numPr>
        <w:spacing w:before="120"/>
        <w:ind w:left="690" w:hanging="240"/>
        <w:rPr>
          <w:rFonts w:ascii="等线" w:eastAsia="等线" w:hAnsi="Times New Roman"/>
          <w:color w:val="000000"/>
        </w:rPr>
      </w:pPr>
      <w:r w:rsidRPr="003B4AB9">
        <w:rPr>
          <w:rFonts w:ascii="等线" w:eastAsia="等线" w:hAnsi="Times New Roman"/>
          <w:color w:val="000000"/>
        </w:rPr>
        <w:t>Represented Morgan Stanley and UBS as underwriters' counsel in Uni-president China Holdings Limited's initial public offering and listing on The Stock Exchange of Hong Kong Limited</w:t>
      </w:r>
    </w:p>
    <w:p w14:paraId="605E18A5" w14:textId="77777777" w:rsidR="003B4AB9" w:rsidRDefault="003B4AB9" w:rsidP="003B4AB9">
      <w:pPr>
        <w:pStyle w:val="af5"/>
        <w:numPr>
          <w:ilvl w:val="0"/>
          <w:numId w:val="23"/>
        </w:numPr>
        <w:spacing w:before="120"/>
        <w:ind w:left="690" w:hanging="240"/>
        <w:rPr>
          <w:rFonts w:ascii="等线" w:eastAsia="等线" w:hAnsi="Times New Roman"/>
          <w:color w:val="000000"/>
        </w:rPr>
      </w:pPr>
      <w:r w:rsidRPr="003B4AB9">
        <w:rPr>
          <w:rFonts w:ascii="等线" w:eastAsia="等线" w:hAnsi="Times New Roman"/>
          <w:color w:val="000000"/>
        </w:rPr>
        <w:t>Represented Alibaba.com Limited as issuer</w:t>
      </w:r>
      <w:r w:rsidRPr="003B4AB9">
        <w:rPr>
          <w:rFonts w:ascii="等线" w:eastAsia="等线" w:hAnsi="Times New Roman"/>
          <w:color w:val="000000"/>
        </w:rPr>
        <w:t>’</w:t>
      </w:r>
      <w:r w:rsidRPr="003B4AB9">
        <w:rPr>
          <w:rFonts w:ascii="等线" w:eastAsia="等线" w:hAnsi="Times New Roman"/>
          <w:color w:val="000000"/>
        </w:rPr>
        <w:t>s PRC counsel in its initial public offering on The Stock Exchange of Hong Kong Limited</w:t>
      </w:r>
    </w:p>
    <w:p w14:paraId="5F22F76D" w14:textId="77777777" w:rsidR="003B4AB9" w:rsidRDefault="003B4AB9" w:rsidP="003B4AB9">
      <w:pPr>
        <w:pStyle w:val="af5"/>
        <w:numPr>
          <w:ilvl w:val="0"/>
          <w:numId w:val="24"/>
        </w:numPr>
        <w:spacing w:before="120"/>
        <w:ind w:left="690" w:hanging="240"/>
        <w:rPr>
          <w:rFonts w:ascii="等线" w:eastAsia="等线" w:hAnsi="Times New Roman"/>
          <w:color w:val="000000"/>
        </w:rPr>
      </w:pPr>
      <w:r w:rsidRPr="003B4AB9">
        <w:rPr>
          <w:rFonts w:ascii="等线" w:eastAsia="等线" w:hAnsi="Times New Roman"/>
          <w:color w:val="000000"/>
        </w:rPr>
        <w:t>Represented Publicis Groupe in its acquisition of Razorfish from Microsoft</w:t>
      </w:r>
    </w:p>
    <w:p w14:paraId="722479D9" w14:textId="77777777" w:rsidR="003B4AB9" w:rsidRDefault="003B4AB9" w:rsidP="003B4AB9">
      <w:pPr>
        <w:pStyle w:val="af5"/>
        <w:numPr>
          <w:ilvl w:val="0"/>
          <w:numId w:val="25"/>
        </w:numPr>
        <w:spacing w:before="120"/>
        <w:ind w:left="690" w:hanging="240"/>
        <w:rPr>
          <w:rFonts w:ascii="等线" w:eastAsia="等线" w:hAnsi="Times New Roman"/>
          <w:color w:val="000000"/>
        </w:rPr>
      </w:pPr>
      <w:r w:rsidRPr="003B4AB9">
        <w:rPr>
          <w:rFonts w:ascii="等线" w:eastAsia="等线" w:hAnsi="Times New Roman"/>
          <w:color w:val="000000"/>
        </w:rPr>
        <w:t>Represented Allyes, a leading online advertising services provider, and the seller in Silverlake</w:t>
      </w:r>
      <w:r w:rsidRPr="003B4AB9">
        <w:rPr>
          <w:rFonts w:ascii="等线" w:eastAsia="等线" w:hAnsi="Times New Roman"/>
          <w:color w:val="000000"/>
        </w:rPr>
        <w:t>’</w:t>
      </w:r>
      <w:r w:rsidRPr="003B4AB9">
        <w:rPr>
          <w:rFonts w:ascii="等线" w:eastAsia="等线" w:hAnsi="Times New Roman"/>
          <w:color w:val="000000"/>
        </w:rPr>
        <w:t>s acquisition of Allyes</w:t>
      </w:r>
    </w:p>
    <w:p w14:paraId="6F9DA2FC" w14:textId="77777777" w:rsidR="003B4AB9" w:rsidRDefault="003B4AB9" w:rsidP="003B4AB9">
      <w:pPr>
        <w:pStyle w:val="af5"/>
        <w:numPr>
          <w:ilvl w:val="0"/>
          <w:numId w:val="26"/>
        </w:numPr>
        <w:spacing w:before="120"/>
        <w:ind w:left="690" w:hanging="240"/>
        <w:rPr>
          <w:rFonts w:ascii="等线" w:eastAsia="等线" w:hAnsi="Times New Roman"/>
          <w:color w:val="000000"/>
        </w:rPr>
      </w:pPr>
      <w:r w:rsidRPr="003B4AB9">
        <w:rPr>
          <w:rFonts w:ascii="等线" w:eastAsia="等线" w:hAnsi="Times New Roman"/>
          <w:color w:val="000000"/>
        </w:rPr>
        <w:t>Represented Focus Media and acted as the issuer</w:t>
      </w:r>
      <w:r w:rsidRPr="003B4AB9">
        <w:rPr>
          <w:rFonts w:ascii="等线" w:eastAsia="等线" w:hAnsi="Times New Roman"/>
          <w:color w:val="000000"/>
        </w:rPr>
        <w:t>’</w:t>
      </w:r>
      <w:r w:rsidRPr="003B4AB9">
        <w:rPr>
          <w:rFonts w:ascii="等线" w:eastAsia="等线" w:hAnsi="Times New Roman"/>
          <w:color w:val="000000"/>
        </w:rPr>
        <w:t>s counsel in the initial public offering and follow-on offering of Focus Media Holding Limited on the NASDAQ</w:t>
      </w:r>
    </w:p>
    <w:p w14:paraId="314E193C" w14:textId="77777777" w:rsidR="003B4AB9" w:rsidRDefault="003B4AB9" w:rsidP="003B4AB9">
      <w:pPr>
        <w:pStyle w:val="af5"/>
        <w:numPr>
          <w:ilvl w:val="0"/>
          <w:numId w:val="27"/>
        </w:numPr>
        <w:spacing w:before="120"/>
        <w:ind w:left="690" w:hanging="240"/>
        <w:rPr>
          <w:rFonts w:ascii="等线" w:eastAsia="等线" w:hAnsi="Times New Roman"/>
          <w:color w:val="000000"/>
        </w:rPr>
      </w:pPr>
      <w:r w:rsidRPr="003B4AB9">
        <w:rPr>
          <w:rFonts w:ascii="等线" w:eastAsia="等线" w:hAnsi="Times New Roman"/>
          <w:color w:val="000000"/>
        </w:rPr>
        <w:t>Provided daily legal services to clients, such as Alibaba, Ubisoft, Phillip, Tata Telecommunications, etc., in various industries, especially in TMT sectors</w:t>
      </w:r>
    </w:p>
    <w:p w14:paraId="4F3F36DA" w14:textId="77777777" w:rsidR="003B4AB9" w:rsidRDefault="003B4AB9" w:rsidP="003B4AB9">
      <w:pPr>
        <w:pStyle w:val="af5"/>
        <w:spacing w:after="0" w:line="480" w:lineRule="auto"/>
        <w:rPr>
          <w:rFonts w:ascii="等线" w:eastAsia="等线" w:hAnsi="等线"/>
          <w:b/>
          <w:sz w:val="24"/>
        </w:rPr>
      </w:pPr>
      <w:r w:rsidRPr="003B4AB9">
        <w:rPr>
          <w:rFonts w:ascii="等线" w:eastAsia="等线" w:hAnsi="等线"/>
          <w:b/>
          <w:sz w:val="24"/>
        </w:rPr>
        <w:t>Professional Qualification</w:t>
      </w:r>
    </w:p>
    <w:p w14:paraId="64E289D6" w14:textId="77777777" w:rsidR="003B4AB9" w:rsidRDefault="003B4AB9" w:rsidP="003B4AB9">
      <w:pPr>
        <w:pStyle w:val="af5"/>
        <w:numPr>
          <w:ilvl w:val="0"/>
          <w:numId w:val="28"/>
        </w:numPr>
        <w:spacing w:before="120"/>
        <w:ind w:left="690" w:hanging="240"/>
        <w:rPr>
          <w:rFonts w:ascii="等线" w:eastAsia="等线" w:hAnsi="Times New Roman"/>
          <w:color w:val="000000"/>
        </w:rPr>
      </w:pPr>
      <w:r w:rsidRPr="003B4AB9">
        <w:rPr>
          <w:rFonts w:ascii="等线" w:eastAsia="等线" w:hAnsi="Times New Roman"/>
          <w:color w:val="000000"/>
        </w:rPr>
        <w:t>Admitted to practice in the PRC</w:t>
      </w:r>
    </w:p>
    <w:p w14:paraId="396C55A9" w14:textId="77777777" w:rsidR="003B4AB9" w:rsidRDefault="003B4AB9" w:rsidP="003B4AB9">
      <w:pPr>
        <w:pStyle w:val="af5"/>
        <w:spacing w:after="0" w:line="480" w:lineRule="auto"/>
        <w:rPr>
          <w:rFonts w:ascii="等线" w:eastAsia="等线" w:hAnsi="等线"/>
          <w:b/>
          <w:sz w:val="24"/>
        </w:rPr>
      </w:pPr>
      <w:r w:rsidRPr="003B4AB9">
        <w:rPr>
          <w:rFonts w:ascii="等线" w:eastAsia="等线" w:hAnsi="等线"/>
          <w:b/>
          <w:sz w:val="24"/>
        </w:rPr>
        <w:t>Professional Background</w:t>
      </w:r>
    </w:p>
    <w:p w14:paraId="5567FC3C" w14:textId="0C1F11C2" w:rsidR="00686369" w:rsidRPr="003B4AB9" w:rsidRDefault="003B4AB9" w:rsidP="003B4AB9">
      <w:pPr>
        <w:pStyle w:val="af5"/>
        <w:numPr>
          <w:ilvl w:val="0"/>
          <w:numId w:val="29"/>
        </w:numPr>
        <w:spacing w:before="120"/>
        <w:ind w:left="690" w:hanging="240"/>
        <w:rPr>
          <w:rFonts w:ascii="等线" w:eastAsia="等线" w:hAnsi="Times New Roman"/>
          <w:color w:val="000000"/>
        </w:rPr>
      </w:pPr>
      <w:r w:rsidRPr="003B4AB9">
        <w:rPr>
          <w:rFonts w:ascii="等线" w:eastAsia="等线" w:hAnsi="Times New Roman"/>
          <w:color w:val="000000"/>
        </w:rPr>
        <w:t>Ms. Tang has over 15 years of practice experience in corporate finance. Ms. Tang is ranked among the Top 15 Female Lawyers in China by Asia Legal Business and ranked as a leading lawyer in overseas capital markets and TMT by Chambers and Partners.</w:t>
      </w:r>
    </w:p>
    <w:sectPr w:rsidR="00686369" w:rsidRPr="003B4A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E4337"/>
    <w:multiLevelType w:val="singleLevel"/>
    <w:tmpl w:val="1DD82B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295BBF"/>
    <w:multiLevelType w:val="singleLevel"/>
    <w:tmpl w:val="E256BB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D10986"/>
    <w:multiLevelType w:val="singleLevel"/>
    <w:tmpl w:val="5DC4998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1D5A7D"/>
    <w:multiLevelType w:val="singleLevel"/>
    <w:tmpl w:val="FD2AD0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CF649D6"/>
    <w:multiLevelType w:val="singleLevel"/>
    <w:tmpl w:val="106EB3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9E09CC"/>
    <w:multiLevelType w:val="singleLevel"/>
    <w:tmpl w:val="D47C2E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601962"/>
    <w:multiLevelType w:val="singleLevel"/>
    <w:tmpl w:val="2CD8A9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CC4BE5"/>
    <w:multiLevelType w:val="singleLevel"/>
    <w:tmpl w:val="831414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7C6984"/>
    <w:multiLevelType w:val="singleLevel"/>
    <w:tmpl w:val="15B04F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17A4834"/>
    <w:multiLevelType w:val="singleLevel"/>
    <w:tmpl w:val="ECEEEC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29E0C03"/>
    <w:multiLevelType w:val="singleLevel"/>
    <w:tmpl w:val="C21898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177EB4"/>
    <w:multiLevelType w:val="singleLevel"/>
    <w:tmpl w:val="C9AC427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5C2428"/>
    <w:multiLevelType w:val="singleLevel"/>
    <w:tmpl w:val="140A01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4024216"/>
    <w:multiLevelType w:val="singleLevel"/>
    <w:tmpl w:val="F8847A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56078F"/>
    <w:multiLevelType w:val="singleLevel"/>
    <w:tmpl w:val="D2ACB2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6858FB"/>
    <w:multiLevelType w:val="singleLevel"/>
    <w:tmpl w:val="DCD2EEA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7457B9"/>
    <w:multiLevelType w:val="singleLevel"/>
    <w:tmpl w:val="1BB0AD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D02831"/>
    <w:multiLevelType w:val="singleLevel"/>
    <w:tmpl w:val="58147B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62920C8"/>
    <w:multiLevelType w:val="singleLevel"/>
    <w:tmpl w:val="2D0215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D429AE"/>
    <w:multiLevelType w:val="singleLevel"/>
    <w:tmpl w:val="66BC930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BC61110"/>
    <w:multiLevelType w:val="singleLevel"/>
    <w:tmpl w:val="3DF0A2D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5460F2"/>
    <w:multiLevelType w:val="singleLevel"/>
    <w:tmpl w:val="C83AF0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69703F8"/>
    <w:multiLevelType w:val="singleLevel"/>
    <w:tmpl w:val="8194966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3A37B5D"/>
    <w:multiLevelType w:val="singleLevel"/>
    <w:tmpl w:val="2BB8B5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53A132D"/>
    <w:multiLevelType w:val="singleLevel"/>
    <w:tmpl w:val="66A8A1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5D4170"/>
    <w:multiLevelType w:val="singleLevel"/>
    <w:tmpl w:val="3DF0A2D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EB116C4"/>
    <w:multiLevelType w:val="singleLevel"/>
    <w:tmpl w:val="B6B6053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24"/>
  </w:num>
  <w:num w:numId="4">
    <w:abstractNumId w:val="16"/>
  </w:num>
  <w:num w:numId="5">
    <w:abstractNumId w:val="7"/>
  </w:num>
  <w:num w:numId="6">
    <w:abstractNumId w:val="11"/>
  </w:num>
  <w:num w:numId="7">
    <w:abstractNumId w:val="21"/>
  </w:num>
  <w:num w:numId="8">
    <w:abstractNumId w:val="23"/>
  </w:num>
  <w:num w:numId="9">
    <w:abstractNumId w:val="17"/>
  </w:num>
  <w:num w:numId="10">
    <w:abstractNumId w:val="4"/>
  </w:num>
  <w:num w:numId="11">
    <w:abstractNumId w:val="15"/>
  </w:num>
  <w:num w:numId="12">
    <w:abstractNumId w:val="26"/>
  </w:num>
  <w:num w:numId="13">
    <w:abstractNumId w:val="28"/>
  </w:num>
  <w:num w:numId="14">
    <w:abstractNumId w:val="19"/>
  </w:num>
  <w:num w:numId="15">
    <w:abstractNumId w:val="18"/>
  </w:num>
  <w:num w:numId="16">
    <w:abstractNumId w:val="20"/>
  </w:num>
  <w:num w:numId="17">
    <w:abstractNumId w:val="3"/>
  </w:num>
  <w:num w:numId="18">
    <w:abstractNumId w:val="0"/>
  </w:num>
  <w:num w:numId="19">
    <w:abstractNumId w:val="1"/>
  </w:num>
  <w:num w:numId="20">
    <w:abstractNumId w:val="10"/>
  </w:num>
  <w:num w:numId="21">
    <w:abstractNumId w:val="14"/>
  </w:num>
  <w:num w:numId="22">
    <w:abstractNumId w:val="2"/>
  </w:num>
  <w:num w:numId="23">
    <w:abstractNumId w:val="25"/>
  </w:num>
  <w:num w:numId="24">
    <w:abstractNumId w:val="6"/>
  </w:num>
  <w:num w:numId="25">
    <w:abstractNumId w:val="9"/>
  </w:num>
  <w:num w:numId="26">
    <w:abstractNumId w:val="13"/>
  </w:num>
  <w:num w:numId="27">
    <w:abstractNumId w:val="5"/>
  </w:num>
  <w:num w:numId="28">
    <w:abstractNumId w:val="22"/>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B4AB9"/>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B4AB9"/>
    <w:pPr>
      <w:spacing w:after="120"/>
    </w:pPr>
  </w:style>
  <w:style w:type="character" w:customStyle="1" w:styleId="af6">
    <w:name w:val="正文文本 字符"/>
    <w:basedOn w:val="a0"/>
    <w:link w:val="af5"/>
    <w:uiPriority w:val="99"/>
    <w:rsid w:val="003B4A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E2493-DD28-4E04-B4B4-DB18F2A8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2026-09-13T23:48:00Z</dcterms:created>
  <dcterms:modified xsi:type="dcterms:W3CDTF">2026-09-13T23:48:00Z</dcterms:modified>
</cp:coreProperties>
</file>