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F37DAE3" w:rsidR="0049405C" w:rsidRPr="00C24D79" w:rsidRDefault="00CB3C02" w:rsidP="00CB3C0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B3C02">
              <w:rPr>
                <w:rFonts w:ascii="等线" w:eastAsia="等线" w:hAnsi="Times New Roman"/>
                <w:b/>
                <w:color w:val="000000"/>
                <w:sz w:val="48"/>
              </w:rPr>
              <w:t>DALIN CONG</w:t>
            </w:r>
            <w:bookmarkEnd w:id="0"/>
          </w:p>
          <w:p w14:paraId="706EB16B" w14:textId="1CD534A6" w:rsidR="0049405C" w:rsidRPr="00C24D79" w:rsidRDefault="00CB3C02" w:rsidP="00CB3C0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B3C02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CB3C0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B3C02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A517349" w:rsidR="0049405C" w:rsidRPr="00C24D79" w:rsidRDefault="00CB3C02" w:rsidP="00CB3C0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B3C02">
              <w:rPr>
                <w:rFonts w:ascii="等线" w:eastAsia="等线" w:hAnsi="Times New Roman"/>
                <w:color w:val="000000"/>
              </w:rPr>
              <w:t xml:space="preserve">+86 21 2208 1128 </w:t>
            </w:r>
            <w:bookmarkEnd w:id="3"/>
          </w:p>
          <w:p w14:paraId="4F910ACA" w14:textId="61C08D16" w:rsidR="0049405C" w:rsidRPr="00C24D79" w:rsidRDefault="00CB3C02" w:rsidP="00CB3C0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B3C02">
              <w:rPr>
                <w:rFonts w:ascii="等线" w:eastAsia="等线" w:hAnsi="Times New Roman"/>
                <w:color w:val="000000"/>
              </w:rPr>
              <w:t>dalin.cong@fangdalaw.com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35616D8" w:rsidR="0049405C" w:rsidRPr="00C24D79" w:rsidRDefault="00CB3C0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8B70AD9" wp14:editId="11DF4362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2F16F77" w:rsidR="009465FB" w:rsidRPr="00C24D79" w:rsidRDefault="00CB3C0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B3C02">
              <w:rPr>
                <w:rFonts w:ascii="等线" w:eastAsia="等线" w:hAnsi="Times New Roman"/>
                <w:color w:val="000000"/>
                <w:szCs w:val="21"/>
              </w:rPr>
              <w:t>MR. CONG SPECIALIZES IN PUBLIC M&amp;A, FOREIGN DIRECT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D85EDCD" w14:textId="77777777" w:rsidR="00CB3C0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12B9A07" w14:textId="77777777" w:rsidR="00CB3C02" w:rsidRDefault="00CB3C02" w:rsidP="00CB3C0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B3C02">
        <w:rPr>
          <w:rFonts w:ascii="等线" w:eastAsia="等线" w:hAnsi="等线"/>
          <w:b/>
          <w:sz w:val="24"/>
        </w:rPr>
        <w:t>REPRESENTATIVE MATTERS AND CASES</w:t>
      </w:r>
    </w:p>
    <w:p w14:paraId="7592675F" w14:textId="77777777" w:rsidR="00CB3C02" w:rsidRDefault="00CB3C02" w:rsidP="00CB3C02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8E6A3A0" w14:textId="77777777" w:rsidR="00CB3C02" w:rsidRDefault="00CB3C02" w:rsidP="00CB3C0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3C02">
        <w:rPr>
          <w:rFonts w:ascii="等线" w:eastAsia="等线" w:hAnsi="Times New Roman"/>
          <w:color w:val="000000"/>
        </w:rPr>
        <w:t>Represented and advised Alibaba Group in its strategic investment in the automotive aftermarket by setting up a joint venture company with Jiangsu Carzone Autoparts Co., Ltd., a leading auto parts supply chain service provider, Qiche Chaoren, a leading automotive maintenance platform wholly owned by A-share listed company Zhejiang Jingu Company Limited (002488.SZ), and other investors such as Warburg Pincus, Yunfeng Capital and PAG</w:t>
      </w:r>
    </w:p>
    <w:p w14:paraId="43A144C8" w14:textId="77777777" w:rsidR="00CB3C02" w:rsidRDefault="00CB3C02" w:rsidP="00CB3C0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3C02">
        <w:rPr>
          <w:rFonts w:ascii="等线" w:eastAsia="等线" w:hAnsi="Times New Roman"/>
          <w:color w:val="000000"/>
        </w:rPr>
        <w:t>Represented and advised Alibaba Group and Ant Financial in their strategic investment in Meinian Onehealth Healthcare, a Shenzhen-listed company (002044.SZ) and a leading professional physical examination and medical services group in China</w:t>
      </w:r>
    </w:p>
    <w:p w14:paraId="5E1CF00E" w14:textId="77777777" w:rsidR="00CB3C02" w:rsidRDefault="00CB3C02" w:rsidP="00CB3C0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3C02">
        <w:rPr>
          <w:rFonts w:ascii="等线" w:eastAsia="等线" w:hAnsi="Times New Roman"/>
          <w:color w:val="000000"/>
        </w:rPr>
        <w:t>Represented and advised Alibaba Group in its strategic investment through A-share exchangeable bond subscription and H-share acquisition of Red Star Macalline, a Shanghai and Hong Kong-listed company (601828.SH, 1528.HK) and a leading home improvement and furnishing shopping mall operator in China</w:t>
      </w:r>
    </w:p>
    <w:p w14:paraId="77554B1E" w14:textId="77777777" w:rsidR="00CB3C02" w:rsidRDefault="00CB3C02" w:rsidP="00CB3C0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3C02">
        <w:rPr>
          <w:rFonts w:ascii="等线" w:eastAsia="等线" w:hAnsi="Times New Roman"/>
          <w:color w:val="000000"/>
        </w:rPr>
        <w:t>Represented and advised Alibaba Group in its strategic investment in TransInfo Technology, a Shenzhen-listed company (002373.SZ) and a leading smart transport system and smart security service provider in China</w:t>
      </w:r>
    </w:p>
    <w:p w14:paraId="0BE2A1DA" w14:textId="77777777" w:rsidR="00CB3C02" w:rsidRDefault="00CB3C02" w:rsidP="00CB3C0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3C02">
        <w:rPr>
          <w:rFonts w:ascii="等线" w:eastAsia="等线" w:hAnsi="Times New Roman"/>
          <w:color w:val="000000"/>
        </w:rPr>
        <w:t>Represented Teld and introduced strategic investors including CDH Investments and China Structural Reform Fund to them. Teld is a subsidiary of A-share listed company TGOOD (300001.SZ) and mainly engages in the construction and operation of new energy vehicle charging networks and provides internet-based value-added services</w:t>
      </w:r>
    </w:p>
    <w:p w14:paraId="0AF23EB1" w14:textId="77777777" w:rsidR="00CB3C02" w:rsidRDefault="00CB3C02" w:rsidP="00CB3C0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3C02">
        <w:rPr>
          <w:rFonts w:ascii="等线" w:eastAsia="等线" w:hAnsi="Times New Roman"/>
          <w:color w:val="000000"/>
        </w:rPr>
        <w:t>Represented and advised Ant Financial in its strategic investment in HopeRun Technology Corp. (300339.SZ) and Client-Service International Inc. (300663.SZ)</w:t>
      </w:r>
    </w:p>
    <w:p w14:paraId="2FA90CD2" w14:textId="77777777" w:rsidR="00CB3C02" w:rsidRDefault="00CB3C02" w:rsidP="00CB3C0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3C02">
        <w:rPr>
          <w:rFonts w:ascii="等线" w:eastAsia="等线" w:hAnsi="Times New Roman"/>
          <w:color w:val="000000"/>
        </w:rPr>
        <w:t>Represented and advised Alibaba Group in its strategic investment in New Hua Du Supercenter Co., Ltd. (002264.SZ) and Wanda Film (002739.SZ)</w:t>
      </w:r>
    </w:p>
    <w:p w14:paraId="23F51F16" w14:textId="77777777" w:rsidR="00CB3C02" w:rsidRDefault="00CB3C02" w:rsidP="00CB3C0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3C02">
        <w:rPr>
          <w:rFonts w:ascii="等线" w:eastAsia="等线" w:hAnsi="Times New Roman"/>
          <w:color w:val="000000"/>
        </w:rPr>
        <w:t>Acted as legal counsel on general corporate matters for various listed companies, including Baoshan Iron &amp; Steel (600019.SH), Jingjiang Investment (600650.SH), and Giti Tire (600182.SH)</w:t>
      </w:r>
    </w:p>
    <w:p w14:paraId="2B14CC1F" w14:textId="77777777" w:rsidR="00CB3C02" w:rsidRDefault="00CB3C02" w:rsidP="00CB3C0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3C02">
        <w:rPr>
          <w:rFonts w:ascii="等线" w:eastAsia="等线" w:hAnsi="Times New Roman"/>
          <w:color w:val="000000"/>
        </w:rPr>
        <w:t>Represented and advised Siemens in its investment in and exit from two wind power Sino-foreign joint ventures with Shanghai Electric Group</w:t>
      </w:r>
    </w:p>
    <w:p w14:paraId="60236DF1" w14:textId="77777777" w:rsidR="00CB3C02" w:rsidRDefault="00CB3C02" w:rsidP="00CB3C0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3C02">
        <w:rPr>
          <w:rFonts w:ascii="等线" w:eastAsia="等线" w:hAnsi="Times New Roman"/>
          <w:color w:val="000000"/>
        </w:rPr>
        <w:t>Represented and advised Philips on its establishment of a joint venture with a subsidiary of China Electronics Corporation</w:t>
      </w:r>
    </w:p>
    <w:p w14:paraId="66C5E041" w14:textId="77777777" w:rsidR="00CB3C02" w:rsidRDefault="00CB3C02" w:rsidP="00CB3C0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3C02">
        <w:rPr>
          <w:rFonts w:ascii="等线" w:eastAsia="等线" w:hAnsi="Times New Roman"/>
          <w:color w:val="000000"/>
        </w:rPr>
        <w:t>Represented and advised GE on its global acquisition of a reciprocating compressor business from Cameron</w:t>
      </w:r>
    </w:p>
    <w:p w14:paraId="06ABB903" w14:textId="77777777" w:rsidR="00CB3C02" w:rsidRDefault="00CB3C02" w:rsidP="00CB3C0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3C02">
        <w:rPr>
          <w:rFonts w:ascii="等线" w:eastAsia="等线" w:hAnsi="Times New Roman"/>
          <w:color w:val="000000"/>
        </w:rPr>
        <w:t>Represented and advised the syndication lead by TPG in its privatization of ShangPharm</w:t>
      </w:r>
    </w:p>
    <w:p w14:paraId="6E791E5E" w14:textId="77777777" w:rsidR="00CB3C02" w:rsidRDefault="00CB3C02" w:rsidP="00CB3C0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3C02">
        <w:rPr>
          <w:rFonts w:ascii="等线" w:eastAsia="等线" w:hAnsi="Times New Roman"/>
          <w:color w:val="000000"/>
        </w:rPr>
        <w:t>Represented and advised Trina Solar, a US-listed company, on its follow-on offering, issuance of convertible securities and other investments and restructuring projects</w:t>
      </w:r>
    </w:p>
    <w:p w14:paraId="6C4F7F36" w14:textId="77777777" w:rsidR="00CB3C02" w:rsidRDefault="00CB3C02" w:rsidP="00CB3C0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3C02">
        <w:rPr>
          <w:rFonts w:ascii="等线" w:eastAsia="等线" w:hAnsi="Times New Roman"/>
          <w:color w:val="000000"/>
        </w:rPr>
        <w:t>Represented and advised Covanta, a leading US-listed company in the waste incineration power generation industry, on its investment projects in China</w:t>
      </w:r>
    </w:p>
    <w:p w14:paraId="70AB061B" w14:textId="77777777" w:rsidR="00CB3C02" w:rsidRDefault="00CB3C02" w:rsidP="00CB3C0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3C02">
        <w:rPr>
          <w:rFonts w:ascii="等线" w:eastAsia="等线" w:hAnsi="Times New Roman"/>
          <w:color w:val="000000"/>
        </w:rPr>
        <w:t>Acted as the PRC legal counsel for the underwriters in RT-mart and Hydron Group</w:t>
      </w:r>
      <w:r w:rsidRPr="00CB3C02">
        <w:rPr>
          <w:rFonts w:ascii="等线" w:eastAsia="等线" w:hAnsi="Times New Roman"/>
          <w:color w:val="000000"/>
        </w:rPr>
        <w:t>’</w:t>
      </w:r>
      <w:r w:rsidRPr="00CB3C02">
        <w:rPr>
          <w:rFonts w:ascii="等线" w:eastAsia="等线" w:hAnsi="Times New Roman"/>
          <w:color w:val="000000"/>
        </w:rPr>
        <w:t>s H-share IPO</w:t>
      </w:r>
    </w:p>
    <w:p w14:paraId="0A6D8132" w14:textId="77777777" w:rsidR="00CB3C02" w:rsidRDefault="00CB3C02" w:rsidP="00CB3C0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3C02">
        <w:rPr>
          <w:rFonts w:ascii="等线" w:eastAsia="等线" w:hAnsi="Times New Roman"/>
          <w:color w:val="000000"/>
        </w:rPr>
        <w:t>Represented Montage Technology as the underwriters in iKang Healthcare</w:t>
      </w:r>
      <w:r w:rsidRPr="00CB3C02">
        <w:rPr>
          <w:rFonts w:ascii="等线" w:eastAsia="等线" w:hAnsi="Times New Roman"/>
          <w:color w:val="000000"/>
        </w:rPr>
        <w:t>’</w:t>
      </w:r>
      <w:r w:rsidRPr="00CB3C02">
        <w:rPr>
          <w:rFonts w:ascii="等线" w:eastAsia="等线" w:hAnsi="Times New Roman"/>
          <w:color w:val="000000"/>
        </w:rPr>
        <w:t>s listing on the NADASQ</w:t>
      </w:r>
    </w:p>
    <w:p w14:paraId="0693B80D" w14:textId="77777777" w:rsidR="00CB3C02" w:rsidRDefault="00CB3C02" w:rsidP="00CB3C0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3C02">
        <w:rPr>
          <w:rFonts w:ascii="等线" w:eastAsia="等线" w:hAnsi="Times New Roman"/>
          <w:color w:val="000000"/>
        </w:rPr>
        <w:t>Acted as the PRC legal counsel for the issuers and underwriters in Brightfood Group's and Baowu Group's subsidiaries' overseas bond issuances</w:t>
      </w:r>
    </w:p>
    <w:p w14:paraId="6763235D" w14:textId="77777777" w:rsidR="00CB3C02" w:rsidRDefault="00CB3C02" w:rsidP="00CB3C0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3C02">
        <w:rPr>
          <w:rFonts w:ascii="等线" w:eastAsia="等线" w:hAnsi="Times New Roman"/>
          <w:color w:val="000000"/>
        </w:rPr>
        <w:t>Represented a variety of leading domestic and international private equity investors, including Carlyle, Blackstone, TPG, ICBC International, Sequoia, Boyu Capital, Yunfeng Capital, Primavera Capital Group, Hony Capital, Sino-Ocean Capital, Northern Light, etc., in their various investments in China</w:t>
      </w:r>
    </w:p>
    <w:p w14:paraId="768D4FA9" w14:textId="77777777" w:rsidR="00CB3C02" w:rsidRDefault="00CB3C02" w:rsidP="00CB3C02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3C02">
        <w:rPr>
          <w:rFonts w:ascii="等线" w:eastAsia="等线" w:hAnsi="Times New Roman"/>
          <w:color w:val="000000"/>
        </w:rPr>
        <w:t>Represented and advised several multinational enterprises, including Bayer, Catalent, Optegra, Ahlstrom, Herman Miller and PSB, on their industry M&amp;A and FDI in China</w:t>
      </w:r>
    </w:p>
    <w:p w14:paraId="5476C757" w14:textId="77777777" w:rsidR="00CB3C02" w:rsidRDefault="00CB3C02" w:rsidP="00CB3C02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3C02">
        <w:rPr>
          <w:rFonts w:ascii="等线" w:eastAsia="等线" w:hAnsi="Times New Roman"/>
          <w:color w:val="000000"/>
        </w:rPr>
        <w:t>Acted as the legal counsel for various domestic and foreign enterprises on their general corporate matters</w:t>
      </w:r>
    </w:p>
    <w:p w14:paraId="6FD670CF" w14:textId="77777777" w:rsidR="00CB3C02" w:rsidRDefault="00CB3C02" w:rsidP="00CB3C0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B3C02">
        <w:rPr>
          <w:rFonts w:ascii="等线" w:eastAsia="等线" w:hAnsi="等线"/>
          <w:b/>
          <w:sz w:val="24"/>
        </w:rPr>
        <w:t>Education</w:t>
      </w:r>
    </w:p>
    <w:p w14:paraId="08DB1D8C" w14:textId="77777777" w:rsidR="00CB3C02" w:rsidRDefault="00CB3C02" w:rsidP="00CB3C02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3C02">
        <w:rPr>
          <w:rFonts w:ascii="等线" w:eastAsia="等线" w:hAnsi="Times New Roman"/>
          <w:color w:val="000000"/>
        </w:rPr>
        <w:t>Fudan University, LL.M.</w:t>
      </w:r>
    </w:p>
    <w:p w14:paraId="17C633D9" w14:textId="77777777" w:rsidR="00CB3C02" w:rsidRDefault="00CB3C02" w:rsidP="00CB3C02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3C02">
        <w:rPr>
          <w:rFonts w:ascii="等线" w:eastAsia="等线" w:hAnsi="Times New Roman"/>
          <w:color w:val="000000"/>
        </w:rPr>
        <w:t>East China University of Political Science and Law, LL.B.</w:t>
      </w:r>
    </w:p>
    <w:p w14:paraId="2F90A087" w14:textId="77777777" w:rsidR="00CB3C02" w:rsidRDefault="00CB3C02" w:rsidP="00CB3C0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B3C02">
        <w:rPr>
          <w:rFonts w:ascii="等线" w:eastAsia="等线" w:hAnsi="等线"/>
          <w:b/>
          <w:sz w:val="24"/>
        </w:rPr>
        <w:t>Professional Qualification</w:t>
      </w:r>
    </w:p>
    <w:p w14:paraId="5567FC3C" w14:textId="5A6B3841" w:rsidR="00686369" w:rsidRPr="00CB3C02" w:rsidRDefault="00CB3C02" w:rsidP="00CB3C02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3C02">
        <w:rPr>
          <w:rFonts w:ascii="等线" w:eastAsia="等线" w:hAnsi="Times New Roman"/>
          <w:color w:val="000000"/>
        </w:rPr>
        <w:t>Admitted to practice in the PRC</w:t>
      </w:r>
    </w:p>
    <w:sectPr w:rsidR="00686369" w:rsidRPr="00CB3C0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2E6E"/>
    <w:multiLevelType w:val="singleLevel"/>
    <w:tmpl w:val="8AF66A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3A73F4"/>
    <w:multiLevelType w:val="singleLevel"/>
    <w:tmpl w:val="048CA7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4BF4A46"/>
    <w:multiLevelType w:val="singleLevel"/>
    <w:tmpl w:val="F27ABE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8276EA"/>
    <w:multiLevelType w:val="singleLevel"/>
    <w:tmpl w:val="266C54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8CF02C6"/>
    <w:multiLevelType w:val="singleLevel"/>
    <w:tmpl w:val="BCB276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E457BA6"/>
    <w:multiLevelType w:val="singleLevel"/>
    <w:tmpl w:val="BCB276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3FF3755"/>
    <w:multiLevelType w:val="singleLevel"/>
    <w:tmpl w:val="9F2CF3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A8F6A04"/>
    <w:multiLevelType w:val="singleLevel"/>
    <w:tmpl w:val="20BE65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D276164"/>
    <w:multiLevelType w:val="singleLevel"/>
    <w:tmpl w:val="D6E832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99F4CBE"/>
    <w:multiLevelType w:val="singleLevel"/>
    <w:tmpl w:val="762849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BA159FD"/>
    <w:multiLevelType w:val="singleLevel"/>
    <w:tmpl w:val="633666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D85527B"/>
    <w:multiLevelType w:val="singleLevel"/>
    <w:tmpl w:val="76BEB6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29A5965"/>
    <w:multiLevelType w:val="singleLevel"/>
    <w:tmpl w:val="4ECC5A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31F2ED8"/>
    <w:multiLevelType w:val="singleLevel"/>
    <w:tmpl w:val="D500DE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3FE2CE9"/>
    <w:multiLevelType w:val="singleLevel"/>
    <w:tmpl w:val="94807A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5BC0F62"/>
    <w:multiLevelType w:val="singleLevel"/>
    <w:tmpl w:val="733064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98F3400"/>
    <w:multiLevelType w:val="singleLevel"/>
    <w:tmpl w:val="4C5CD9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98B7A77"/>
    <w:multiLevelType w:val="singleLevel"/>
    <w:tmpl w:val="19425D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B093F17"/>
    <w:multiLevelType w:val="singleLevel"/>
    <w:tmpl w:val="F44CC6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EFB0B6D"/>
    <w:multiLevelType w:val="singleLevel"/>
    <w:tmpl w:val="D690CE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4A64805"/>
    <w:multiLevelType w:val="singleLevel"/>
    <w:tmpl w:val="FB2A36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67C393E"/>
    <w:multiLevelType w:val="singleLevel"/>
    <w:tmpl w:val="6F5CBF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80408E9"/>
    <w:multiLevelType w:val="singleLevel"/>
    <w:tmpl w:val="04E293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DD76FCD"/>
    <w:multiLevelType w:val="singleLevel"/>
    <w:tmpl w:val="3768FE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1"/>
  </w:num>
  <w:num w:numId="3">
    <w:abstractNumId w:val="25"/>
  </w:num>
  <w:num w:numId="4">
    <w:abstractNumId w:val="16"/>
  </w:num>
  <w:num w:numId="5">
    <w:abstractNumId w:val="3"/>
  </w:num>
  <w:num w:numId="6">
    <w:abstractNumId w:val="20"/>
  </w:num>
  <w:num w:numId="7">
    <w:abstractNumId w:val="7"/>
  </w:num>
  <w:num w:numId="8">
    <w:abstractNumId w:val="2"/>
  </w:num>
  <w:num w:numId="9">
    <w:abstractNumId w:val="22"/>
  </w:num>
  <w:num w:numId="10">
    <w:abstractNumId w:val="23"/>
  </w:num>
  <w:num w:numId="11">
    <w:abstractNumId w:val="18"/>
  </w:num>
  <w:num w:numId="12">
    <w:abstractNumId w:val="15"/>
  </w:num>
  <w:num w:numId="13">
    <w:abstractNumId w:val="13"/>
  </w:num>
  <w:num w:numId="14">
    <w:abstractNumId w:val="17"/>
  </w:num>
  <w:num w:numId="15">
    <w:abstractNumId w:val="8"/>
  </w:num>
  <w:num w:numId="16">
    <w:abstractNumId w:val="1"/>
  </w:num>
  <w:num w:numId="17">
    <w:abstractNumId w:val="19"/>
  </w:num>
  <w:num w:numId="18">
    <w:abstractNumId w:val="14"/>
  </w:num>
  <w:num w:numId="19">
    <w:abstractNumId w:val="10"/>
  </w:num>
  <w:num w:numId="20">
    <w:abstractNumId w:val="0"/>
  </w:num>
  <w:num w:numId="21">
    <w:abstractNumId w:val="21"/>
  </w:num>
  <w:num w:numId="22">
    <w:abstractNumId w:val="24"/>
  </w:num>
  <w:num w:numId="23">
    <w:abstractNumId w:val="12"/>
  </w:num>
  <w:num w:numId="24">
    <w:abstractNumId w:val="6"/>
  </w:num>
  <w:num w:numId="25">
    <w:abstractNumId w:val="4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B3C02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B3C0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B3C0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EBD6128-1BE0-4991-9126-FEBF5AFEF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603</Words>
  <Characters>3440</Characters>
  <Application>Microsoft Office Word</Application>
  <DocSecurity>0</DocSecurity>
  <Lines>28</Lines>
  <Paragraphs>8</Paragraphs>
  <ScaleCrop>false</ScaleCrop>
  <Company/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2026-05-07T19:48:00Z</dcterms:created>
  <dcterms:modified xsi:type="dcterms:W3CDTF">2026-05-07T19:48:00Z</dcterms:modified>
</cp:coreProperties>
</file>