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099A9C" w:rsidR="0049405C" w:rsidRPr="00C24D79" w:rsidRDefault="00F3634B" w:rsidP="00F3634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3634B">
              <w:rPr>
                <w:rFonts w:ascii="等线" w:eastAsia="等线" w:hAnsi="Times New Roman"/>
                <w:b/>
                <w:color w:val="000000"/>
                <w:sz w:val="48"/>
              </w:rPr>
              <w:t>DALIN CONG</w:t>
            </w:r>
            <w:bookmarkEnd w:id="0"/>
          </w:p>
          <w:p w14:paraId="706EB16B" w14:textId="057D1EE1" w:rsidR="0049405C" w:rsidRPr="00C24D79" w:rsidRDefault="00F3634B" w:rsidP="00F3634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3634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3634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3634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C1646CD" w:rsidR="0049405C" w:rsidRPr="00C24D79" w:rsidRDefault="00F3634B" w:rsidP="00F3634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3634B">
              <w:rPr>
                <w:rFonts w:ascii="等线" w:eastAsia="等线" w:hAnsi="Times New Roman"/>
                <w:color w:val="000000"/>
              </w:rPr>
              <w:t xml:space="preserve">+86 21 2208 1128 </w:t>
            </w:r>
            <w:bookmarkEnd w:id="3"/>
          </w:p>
          <w:p w14:paraId="4F910ACA" w14:textId="6DA6EEA0" w:rsidR="0049405C" w:rsidRPr="00C24D79" w:rsidRDefault="00F3634B" w:rsidP="00F3634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3634B">
              <w:rPr>
                <w:rFonts w:ascii="等线" w:eastAsia="等线" w:hAnsi="Times New Roman"/>
                <w:color w:val="000000"/>
              </w:rPr>
              <w:t>dalin.cong@fangdalaw.com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A4A8D0D" w:rsidR="0049405C" w:rsidRPr="00C24D79" w:rsidRDefault="00F3634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91208B5" wp14:editId="485219C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81D6D42" w:rsidR="009465FB" w:rsidRPr="00C24D79" w:rsidRDefault="00F3634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3634B">
              <w:rPr>
                <w:rFonts w:ascii="等线" w:eastAsia="等线" w:hAnsi="Times New Roman"/>
                <w:color w:val="000000"/>
                <w:szCs w:val="21"/>
              </w:rPr>
              <w:t>MR. CONG SPECIALIZES IN PUBLIC M&amp;A,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562575D" w14:textId="77777777" w:rsidR="00F3634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43DFBA" w14:textId="77777777" w:rsidR="00F3634B" w:rsidRDefault="00F3634B" w:rsidP="00F363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34B">
        <w:rPr>
          <w:rFonts w:ascii="等线" w:eastAsia="等线" w:hAnsi="等线"/>
          <w:b/>
          <w:sz w:val="24"/>
        </w:rPr>
        <w:t>REPRESENTATIVE MATTERS AND CASES</w:t>
      </w:r>
    </w:p>
    <w:p w14:paraId="2E953F6F" w14:textId="77777777" w:rsidR="00F3634B" w:rsidRDefault="00F3634B" w:rsidP="00F3634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94B8A1D" w14:textId="77777777" w:rsidR="00F3634B" w:rsidRDefault="00F3634B" w:rsidP="00F3634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Alibaba Group in its strategic investment in the automotive aftermarket by setting up a joint venture company with Jiangsu Carzone Autoparts Co., Ltd., a leading auto parts supply chain service provider, Qiche Chaoren, a leading automotive maintenance platform wholly owned by A-share listed company Zhejiang Jingu Company Limited (002488.SZ), and other investors such as Warburg Pincus, Yunfeng Capital and PAG</w:t>
      </w:r>
    </w:p>
    <w:p w14:paraId="2798DF06" w14:textId="77777777" w:rsidR="00F3634B" w:rsidRDefault="00F3634B" w:rsidP="00F3634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Alibaba Group and Ant Financial in their strategic investment in Meinian Onehealth Healthcare, a Shenzhen-listed company (002044.SZ) and a leading professional physical examination and medical services group in China</w:t>
      </w:r>
    </w:p>
    <w:p w14:paraId="5490F2E2" w14:textId="77777777" w:rsidR="00F3634B" w:rsidRDefault="00F3634B" w:rsidP="00F3634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Alibaba Group in its strategic investment through A-share exchangeable bond subscription and H-share acquisition of Red Star Macalline, a Shanghai and Hong Kong-listed company (601828.SH, 1528.HK) and a leading home improvement and furnishing shopping mall operator in China</w:t>
      </w:r>
    </w:p>
    <w:p w14:paraId="100BB8D9" w14:textId="77777777" w:rsidR="00F3634B" w:rsidRDefault="00F3634B" w:rsidP="00F3634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Alibaba Group in its strategic investment in TransInfo Technology, a Shenzhen-listed company (002373.SZ) and a leading smart transport system and smart security service provider in China</w:t>
      </w:r>
    </w:p>
    <w:p w14:paraId="591FCCE3" w14:textId="77777777" w:rsidR="00F3634B" w:rsidRDefault="00F3634B" w:rsidP="00F3634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Teld and introduced strategic investors including CDH Investments and China Structural Reform Fund to them. Teld is a subsidiary of A-share listed company TGOOD (300001.SZ) and mainly engages in the construction and operation of new energy vehicle charging networks and provides internet-based value-added services</w:t>
      </w:r>
    </w:p>
    <w:p w14:paraId="69E3741E" w14:textId="77777777" w:rsidR="00F3634B" w:rsidRDefault="00F3634B" w:rsidP="00F3634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Ant Financial in its strategic investment in HopeRun Technology Corp. (300339.SZ) and Client-Service International Inc. (300663.SZ)</w:t>
      </w:r>
    </w:p>
    <w:p w14:paraId="45F508CF" w14:textId="77777777" w:rsidR="00F3634B" w:rsidRDefault="00F3634B" w:rsidP="00F3634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Alibaba Group in its strategic investment in New Hua Du Supercenter Co., Ltd. (002264.SZ) and Wanda Film (002739.SZ)</w:t>
      </w:r>
    </w:p>
    <w:p w14:paraId="0E703948" w14:textId="77777777" w:rsidR="00F3634B" w:rsidRDefault="00F3634B" w:rsidP="00F3634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Acted as legal counsel on general corporate matters for various listed companies, including Baoshan Iron &amp; Steel (600019.SH), Jingjiang Investment (600650.SH), and Giti Tire (600182.SH)</w:t>
      </w:r>
    </w:p>
    <w:p w14:paraId="12C1ABE6" w14:textId="77777777" w:rsidR="00F3634B" w:rsidRDefault="00F3634B" w:rsidP="00F3634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Siemens in its investment in and exit from two wind power Sino-foreign joint ventures with Shanghai Electric Group</w:t>
      </w:r>
    </w:p>
    <w:p w14:paraId="60B7CD87" w14:textId="77777777" w:rsidR="00F3634B" w:rsidRDefault="00F3634B" w:rsidP="00F3634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Philips on its establishment of a joint venture with a subsidiary of China Electronics Corporation</w:t>
      </w:r>
    </w:p>
    <w:p w14:paraId="5AA3810C" w14:textId="77777777" w:rsidR="00F3634B" w:rsidRDefault="00F3634B" w:rsidP="00F3634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GE on its global acquisition of a reciprocating compressor business from Cameron</w:t>
      </w:r>
    </w:p>
    <w:p w14:paraId="1C9AFC07" w14:textId="77777777" w:rsidR="00F3634B" w:rsidRDefault="00F3634B" w:rsidP="00F3634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the syndication lead by TPG in its privatization of ShangPharm</w:t>
      </w:r>
    </w:p>
    <w:p w14:paraId="26C7B9E8" w14:textId="77777777" w:rsidR="00F3634B" w:rsidRDefault="00F3634B" w:rsidP="00F3634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Trina Solar, a US-listed company, on its follow-on offering, issuance of convertible securities and other investments and restructuring projects</w:t>
      </w:r>
    </w:p>
    <w:p w14:paraId="4DB9E94F" w14:textId="77777777" w:rsidR="00F3634B" w:rsidRDefault="00F3634B" w:rsidP="00F3634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Covanta, a leading US-listed company in the waste incineration power generation industry, on its investment projects in China</w:t>
      </w:r>
    </w:p>
    <w:p w14:paraId="22D35B79" w14:textId="77777777" w:rsidR="00F3634B" w:rsidRDefault="00F3634B" w:rsidP="00F3634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Acted as the PRC legal counsel for the underwriters in RT-mart and Hydron Group</w:t>
      </w:r>
      <w:r w:rsidRPr="00F3634B">
        <w:rPr>
          <w:rFonts w:ascii="等线" w:eastAsia="等线" w:hAnsi="Times New Roman"/>
          <w:color w:val="000000"/>
        </w:rPr>
        <w:t>’</w:t>
      </w:r>
      <w:r w:rsidRPr="00F3634B">
        <w:rPr>
          <w:rFonts w:ascii="等线" w:eastAsia="等线" w:hAnsi="Times New Roman"/>
          <w:color w:val="000000"/>
        </w:rPr>
        <w:t>s H-share IPO</w:t>
      </w:r>
    </w:p>
    <w:p w14:paraId="027D11B1" w14:textId="77777777" w:rsidR="00F3634B" w:rsidRDefault="00F3634B" w:rsidP="00F3634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Montage Technology as the underwriters in iKang Healthcare</w:t>
      </w:r>
      <w:r w:rsidRPr="00F3634B">
        <w:rPr>
          <w:rFonts w:ascii="等线" w:eastAsia="等线" w:hAnsi="Times New Roman"/>
          <w:color w:val="000000"/>
        </w:rPr>
        <w:t>’</w:t>
      </w:r>
      <w:r w:rsidRPr="00F3634B">
        <w:rPr>
          <w:rFonts w:ascii="等线" w:eastAsia="等线" w:hAnsi="Times New Roman"/>
          <w:color w:val="000000"/>
        </w:rPr>
        <w:t>s listing on the NADASQ</w:t>
      </w:r>
    </w:p>
    <w:p w14:paraId="5882158D" w14:textId="77777777" w:rsidR="00F3634B" w:rsidRDefault="00F3634B" w:rsidP="00F3634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Acted as the PRC legal counsel for the issuers and underwriters in Brightfood Group's and Baowu Group's subsidiaries' overseas bond issuances</w:t>
      </w:r>
    </w:p>
    <w:p w14:paraId="2ADADBF5" w14:textId="77777777" w:rsidR="00F3634B" w:rsidRDefault="00F3634B" w:rsidP="00F3634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 variety of leading domestic and international private equity investors, including Carlyle, Blackstone, TPG, ICBC International, Sequoia, Boyu Capital, Yunfeng Capital, Primavera Capital Group, Hony Capital, Sino-Ocean Capital, Northern Light, etc., in their various investments in China</w:t>
      </w:r>
    </w:p>
    <w:p w14:paraId="47615BF6" w14:textId="77777777" w:rsidR="00F3634B" w:rsidRDefault="00F3634B" w:rsidP="00F3634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Represented and advised several multinational enterprises, including Bayer, Catalent, Optegra, Ahlstrom, Herman Miller and PSB, on their industry M&amp;A and FDI in China</w:t>
      </w:r>
    </w:p>
    <w:p w14:paraId="5B952C0B" w14:textId="77777777" w:rsidR="00F3634B" w:rsidRDefault="00F3634B" w:rsidP="00F3634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Acted as the legal counsel for various domestic and foreign enterprises on their general corporate matters</w:t>
      </w:r>
    </w:p>
    <w:p w14:paraId="554CD90A" w14:textId="77777777" w:rsidR="00F3634B" w:rsidRDefault="00F3634B" w:rsidP="00F363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34B">
        <w:rPr>
          <w:rFonts w:ascii="等线" w:eastAsia="等线" w:hAnsi="等线"/>
          <w:b/>
          <w:sz w:val="24"/>
        </w:rPr>
        <w:t>Education</w:t>
      </w:r>
    </w:p>
    <w:p w14:paraId="5FBEA2A2" w14:textId="77777777" w:rsidR="00F3634B" w:rsidRDefault="00F3634B" w:rsidP="00F3634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Fudan University, LL.M.</w:t>
      </w:r>
    </w:p>
    <w:p w14:paraId="42769715" w14:textId="77777777" w:rsidR="00F3634B" w:rsidRDefault="00F3634B" w:rsidP="00F3634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East China University of Political Science and Law, LL.B.</w:t>
      </w:r>
    </w:p>
    <w:p w14:paraId="71B93409" w14:textId="77777777" w:rsidR="00F3634B" w:rsidRDefault="00F3634B" w:rsidP="00F363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34B">
        <w:rPr>
          <w:rFonts w:ascii="等线" w:eastAsia="等线" w:hAnsi="等线"/>
          <w:b/>
          <w:sz w:val="24"/>
        </w:rPr>
        <w:t>Professional Qualification</w:t>
      </w:r>
    </w:p>
    <w:p w14:paraId="5567FC3C" w14:textId="690E1F93" w:rsidR="00686369" w:rsidRPr="00F3634B" w:rsidRDefault="00F3634B" w:rsidP="00F3634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34B">
        <w:rPr>
          <w:rFonts w:ascii="等线" w:eastAsia="等线" w:hAnsi="Times New Roman"/>
          <w:color w:val="000000"/>
        </w:rPr>
        <w:t>Admitted to practice in the PRC</w:t>
      </w:r>
    </w:p>
    <w:sectPr w:rsidR="00686369" w:rsidRPr="00F3634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3366D"/>
    <w:multiLevelType w:val="singleLevel"/>
    <w:tmpl w:val="AAF65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FF1752"/>
    <w:multiLevelType w:val="singleLevel"/>
    <w:tmpl w:val="BBBA5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7E04BF"/>
    <w:multiLevelType w:val="singleLevel"/>
    <w:tmpl w:val="F120E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032CE6"/>
    <w:multiLevelType w:val="singleLevel"/>
    <w:tmpl w:val="8D465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2D627F"/>
    <w:multiLevelType w:val="singleLevel"/>
    <w:tmpl w:val="BFFE0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B911F9"/>
    <w:multiLevelType w:val="singleLevel"/>
    <w:tmpl w:val="0C544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122C01"/>
    <w:multiLevelType w:val="singleLevel"/>
    <w:tmpl w:val="C3EA8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C558D7"/>
    <w:multiLevelType w:val="singleLevel"/>
    <w:tmpl w:val="491C1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2849B5"/>
    <w:multiLevelType w:val="singleLevel"/>
    <w:tmpl w:val="89389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947868"/>
    <w:multiLevelType w:val="singleLevel"/>
    <w:tmpl w:val="EB863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9126E4"/>
    <w:multiLevelType w:val="singleLevel"/>
    <w:tmpl w:val="180E5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6440EA0"/>
    <w:multiLevelType w:val="singleLevel"/>
    <w:tmpl w:val="BBBA5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211559"/>
    <w:multiLevelType w:val="singleLevel"/>
    <w:tmpl w:val="7968E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E2F3EC5"/>
    <w:multiLevelType w:val="singleLevel"/>
    <w:tmpl w:val="EF009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E71A12"/>
    <w:multiLevelType w:val="singleLevel"/>
    <w:tmpl w:val="EBC8F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596177"/>
    <w:multiLevelType w:val="singleLevel"/>
    <w:tmpl w:val="5D4A4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1620E0"/>
    <w:multiLevelType w:val="singleLevel"/>
    <w:tmpl w:val="331C3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9E749E"/>
    <w:multiLevelType w:val="singleLevel"/>
    <w:tmpl w:val="85D847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C103A9"/>
    <w:multiLevelType w:val="singleLevel"/>
    <w:tmpl w:val="F236A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274078"/>
    <w:multiLevelType w:val="singleLevel"/>
    <w:tmpl w:val="5DE6B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364CEF"/>
    <w:multiLevelType w:val="singleLevel"/>
    <w:tmpl w:val="75886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A0462A"/>
    <w:multiLevelType w:val="singleLevel"/>
    <w:tmpl w:val="7E866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915FFB"/>
    <w:multiLevelType w:val="singleLevel"/>
    <w:tmpl w:val="97947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947C4D"/>
    <w:multiLevelType w:val="singleLevel"/>
    <w:tmpl w:val="48B80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20"/>
  </w:num>
  <w:num w:numId="5">
    <w:abstractNumId w:val="15"/>
  </w:num>
  <w:num w:numId="6">
    <w:abstractNumId w:val="6"/>
  </w:num>
  <w:num w:numId="7">
    <w:abstractNumId w:val="13"/>
  </w:num>
  <w:num w:numId="8">
    <w:abstractNumId w:val="18"/>
  </w:num>
  <w:num w:numId="9">
    <w:abstractNumId w:val="7"/>
  </w:num>
  <w:num w:numId="10">
    <w:abstractNumId w:val="24"/>
  </w:num>
  <w:num w:numId="11">
    <w:abstractNumId w:val="25"/>
  </w:num>
  <w:num w:numId="12">
    <w:abstractNumId w:val="3"/>
  </w:num>
  <w:num w:numId="13">
    <w:abstractNumId w:val="2"/>
  </w:num>
  <w:num w:numId="14">
    <w:abstractNumId w:val="22"/>
  </w:num>
  <w:num w:numId="15">
    <w:abstractNumId w:val="4"/>
  </w:num>
  <w:num w:numId="16">
    <w:abstractNumId w:val="9"/>
  </w:num>
  <w:num w:numId="17">
    <w:abstractNumId w:val="23"/>
  </w:num>
  <w:num w:numId="18">
    <w:abstractNumId w:val="0"/>
  </w:num>
  <w:num w:numId="19">
    <w:abstractNumId w:val="8"/>
  </w:num>
  <w:num w:numId="20">
    <w:abstractNumId w:val="5"/>
  </w:num>
  <w:num w:numId="21">
    <w:abstractNumId w:val="16"/>
  </w:num>
  <w:num w:numId="22">
    <w:abstractNumId w:val="17"/>
  </w:num>
  <w:num w:numId="23">
    <w:abstractNumId w:val="21"/>
  </w:num>
  <w:num w:numId="24">
    <w:abstractNumId w:val="19"/>
  </w:num>
  <w:num w:numId="25">
    <w:abstractNumId w:val="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3634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3634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3634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580392A-E329-4C3E-B191-0256FA394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2026-08-04T19:00:00Z</dcterms:created>
  <dcterms:modified xsi:type="dcterms:W3CDTF">2026-08-04T19:00:00Z</dcterms:modified>
</cp:coreProperties>
</file>