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15667365" w:rsidR="0049405C" w:rsidRPr="00C24D79" w:rsidRDefault="00CD04B6" w:rsidP="00CD04B6">
            <w:pPr>
              <w:spacing w:line="720" w:lineRule="auto"/>
              <w:rPr>
                <w:rFonts w:eastAsiaTheme="minorHAnsi"/>
                <w:color w:val="545551"/>
              </w:rPr>
            </w:pPr>
            <w:bookmarkStart w:id="0" w:name="xingming"/>
            <w:bookmarkStart w:id="1" w:name="_GoBack"/>
            <w:bookmarkEnd w:id="1"/>
            <w:r w:rsidRPr="00CD04B6">
              <w:rPr>
                <w:rFonts w:ascii="等线" w:eastAsia="等线" w:hAnsi="Times New Roman"/>
                <w:b/>
                <w:color w:val="000000"/>
                <w:sz w:val="48"/>
              </w:rPr>
              <w:t>COLIN LAW</w:t>
            </w:r>
            <w:bookmarkEnd w:id="0"/>
          </w:p>
          <w:p w14:paraId="706EB16B" w14:textId="1665A7E2" w:rsidR="0049405C" w:rsidRPr="00C24D79" w:rsidRDefault="00CD04B6" w:rsidP="00CD04B6">
            <w:pPr>
              <w:spacing w:line="360" w:lineRule="auto"/>
              <w:rPr>
                <w:rFonts w:eastAsiaTheme="minorHAnsi"/>
                <w:b/>
                <w:bCs/>
                <w:color w:val="545551"/>
              </w:rPr>
            </w:pPr>
            <w:bookmarkStart w:id="2" w:name="didian"/>
            <w:r w:rsidRPr="00CD04B6">
              <w:rPr>
                <w:rFonts w:ascii="等线" w:eastAsia="等线" w:hAnsi="Times New Roman"/>
                <w:b/>
                <w:bCs/>
                <w:color w:val="000000"/>
              </w:rPr>
              <w:t>Partner</w:t>
            </w:r>
            <w:r w:rsidRPr="00CD04B6">
              <w:rPr>
                <w:rFonts w:ascii="等线" w:eastAsia="等线" w:hAnsi="Times New Roman"/>
                <w:b/>
                <w:bCs/>
                <w:color w:val="000000"/>
              </w:rPr>
              <w:t>·</w:t>
            </w:r>
            <w:r w:rsidRPr="00CD04B6">
              <w:rPr>
                <w:rFonts w:ascii="等线" w:eastAsia="等线" w:hAnsi="Times New Roman"/>
                <w:b/>
                <w:bCs/>
                <w:color w:val="000000"/>
              </w:rPr>
              <w:t>Hong Kong</w:t>
            </w:r>
            <w:bookmarkEnd w:id="2"/>
          </w:p>
          <w:p w14:paraId="6199424A" w14:textId="54E659CC" w:rsidR="0049405C" w:rsidRPr="00C24D79" w:rsidRDefault="00CD04B6" w:rsidP="00CD04B6">
            <w:pPr>
              <w:spacing w:line="360" w:lineRule="auto"/>
              <w:rPr>
                <w:rFonts w:eastAsiaTheme="minorHAnsi"/>
                <w:color w:val="545551"/>
              </w:rPr>
            </w:pPr>
            <w:bookmarkStart w:id="3" w:name="dianhua"/>
            <w:r w:rsidRPr="00CD04B6">
              <w:rPr>
                <w:rFonts w:ascii="等线" w:eastAsia="等线" w:hAnsi="Times New Roman"/>
                <w:color w:val="000000"/>
              </w:rPr>
              <w:t xml:space="preserve">+852 3749 1150 </w:t>
            </w:r>
            <w:bookmarkEnd w:id="3"/>
          </w:p>
          <w:p w14:paraId="4F910ACA" w14:textId="240FD901" w:rsidR="0049405C" w:rsidRPr="00C24D79" w:rsidRDefault="00CD04B6" w:rsidP="00CD04B6">
            <w:pPr>
              <w:spacing w:line="360" w:lineRule="auto"/>
              <w:rPr>
                <w:rFonts w:eastAsiaTheme="minorHAnsi"/>
                <w:color w:val="000000"/>
              </w:rPr>
            </w:pPr>
            <w:bookmarkStart w:id="4" w:name="youxiang"/>
            <w:r w:rsidRPr="00CD04B6">
              <w:rPr>
                <w:rFonts w:ascii="等线" w:eastAsia="等线" w:hAnsi="Times New Roman"/>
                <w:color w:val="000000"/>
              </w:rPr>
              <w:t>colin.law@fangdalaw.com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6833696F" w:rsidR="0049405C" w:rsidRPr="00C24D79" w:rsidRDefault="00CD04B6"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1760A789" wp14:editId="0E8352F6">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0F04B270" w:rsidR="009465FB" w:rsidRPr="00C24D79" w:rsidRDefault="00CD04B6" w:rsidP="007177F3">
            <w:pPr>
              <w:rPr>
                <w:rFonts w:eastAsiaTheme="minorHAnsi"/>
                <w:color w:val="000000"/>
                <w:szCs w:val="21"/>
              </w:rPr>
            </w:pPr>
            <w:bookmarkStart w:id="6" w:name="zhiyelingyu"/>
            <w:r w:rsidRPr="00CD04B6">
              <w:rPr>
                <w:rFonts w:ascii="等线" w:eastAsia="等线" w:hAnsi="Times New Roman"/>
                <w:color w:val="000000"/>
                <w:szCs w:val="21"/>
              </w:rPr>
              <w:t>COLIN LAW IS KNOWN FOR HIS ABILITY TO DELIVER EXCEPTIONAL RESULTS IN COMPLEX CAPITAL MARKETS, M&amp;A AND OTHER SECURITIES TRANSACTIONS.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D50CC5B" w14:textId="77777777" w:rsidR="00CD04B6"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B54E93D" w14:textId="77777777" w:rsidR="00CD04B6" w:rsidRDefault="00CD04B6" w:rsidP="00CD04B6">
      <w:pPr>
        <w:pStyle w:val="af5"/>
        <w:spacing w:before="120"/>
        <w:rPr>
          <w:rFonts w:ascii="等线" w:eastAsia="等线" w:hAnsi="Times New Roman"/>
          <w:color w:val="000000"/>
        </w:rPr>
      </w:pPr>
      <w:r w:rsidRPr="00CD04B6">
        <w:rPr>
          <w:rFonts w:ascii="等线" w:eastAsia="等线" w:hAnsi="Times New Roman"/>
          <w:color w:val="000000"/>
        </w:rPr>
        <w:t>Colin represents multinationals and bulge bracket investment banks on international public offerings, takeovers of public companies, privatization and regulatory matters. Particularly involved in the healthcare, biotech and technology sectors, Colin is recognized over consecutive years as a leading lawyer by Chambers, Legal 500 and IFLR for his excellence in capital markets and corporate practices.</w:t>
      </w:r>
    </w:p>
    <w:p w14:paraId="744A139B" w14:textId="77777777" w:rsidR="00CD04B6" w:rsidRDefault="00CD04B6" w:rsidP="00CD04B6">
      <w:pPr>
        <w:pStyle w:val="af5"/>
        <w:spacing w:after="0" w:line="480" w:lineRule="auto"/>
        <w:rPr>
          <w:rFonts w:ascii="等线" w:eastAsia="等线" w:hAnsi="等线"/>
          <w:b/>
          <w:sz w:val="24"/>
        </w:rPr>
      </w:pPr>
      <w:r w:rsidRPr="00CD04B6">
        <w:rPr>
          <w:rFonts w:ascii="等线" w:eastAsia="等线" w:hAnsi="等线"/>
          <w:b/>
          <w:sz w:val="24"/>
        </w:rPr>
        <w:t>REPRESENTATIVE MATTERS AND CASES</w:t>
      </w:r>
    </w:p>
    <w:p w14:paraId="5112516D" w14:textId="77777777" w:rsidR="00CD04B6" w:rsidRDefault="00CD04B6" w:rsidP="00CD04B6">
      <w:pPr>
        <w:pStyle w:val="af5"/>
        <w:spacing w:before="120"/>
        <w:rPr>
          <w:rFonts w:ascii="等线" w:eastAsia="等线" w:hAnsi="Times New Roman"/>
          <w:color w:val="000000"/>
        </w:rPr>
      </w:pPr>
      <w:r w:rsidRPr="00CD04B6">
        <w:rPr>
          <w:rFonts w:ascii="等线" w:eastAsia="等线" w:hAnsi="Times New Roman"/>
          <w:color w:val="000000"/>
        </w:rPr>
        <w:t>Corporate Finance</w:t>
      </w:r>
    </w:p>
    <w:p w14:paraId="65BB20D5" w14:textId="77777777" w:rsidR="00CD04B6" w:rsidRDefault="00CD04B6" w:rsidP="00CD04B6">
      <w:pPr>
        <w:pStyle w:val="af5"/>
        <w:numPr>
          <w:ilvl w:val="0"/>
          <w:numId w:val="1"/>
        </w:numPr>
        <w:spacing w:before="120"/>
        <w:ind w:left="690" w:hanging="240"/>
        <w:rPr>
          <w:rFonts w:ascii="等线" w:eastAsia="等线" w:hAnsi="Times New Roman"/>
          <w:color w:val="000000"/>
        </w:rPr>
      </w:pPr>
      <w:r w:rsidRPr="00CD04B6">
        <w:rPr>
          <w:rFonts w:ascii="等线" w:eastAsia="等线" w:hAnsi="Times New Roman"/>
          <w:color w:val="000000"/>
        </w:rPr>
        <w:t>Advised Apollo Future Mobility (HKEx stock code: 860) to acquire the EU business of WM Motor valued at approximately US$2 billion through a reverse takeover and whitewash, to be followed by a US$450 million placing</w:t>
      </w:r>
    </w:p>
    <w:p w14:paraId="004FB618" w14:textId="77777777" w:rsidR="00CD04B6" w:rsidRDefault="00CD04B6" w:rsidP="00CD04B6">
      <w:pPr>
        <w:pStyle w:val="af5"/>
        <w:numPr>
          <w:ilvl w:val="0"/>
          <w:numId w:val="2"/>
        </w:numPr>
        <w:spacing w:before="120"/>
        <w:ind w:left="690" w:hanging="240"/>
        <w:rPr>
          <w:rFonts w:ascii="等线" w:eastAsia="等线" w:hAnsi="Times New Roman"/>
          <w:color w:val="000000"/>
        </w:rPr>
      </w:pPr>
      <w:r w:rsidRPr="00CD04B6">
        <w:rPr>
          <w:rFonts w:ascii="等线" w:eastAsia="等线" w:hAnsi="Times New Roman"/>
          <w:color w:val="000000"/>
        </w:rPr>
        <w:t>Acting for CICC and HSBC as sponsors and underwriters counsel for the US$106 million spin-off global offering and initial public offering of Jinmao Property Services Co., Limited (HKEx stock code: 816) on the Main Board of the HKEx</w:t>
      </w:r>
    </w:p>
    <w:p w14:paraId="78768B3F" w14:textId="77777777" w:rsidR="00CD04B6" w:rsidRDefault="00CD04B6" w:rsidP="00CD04B6">
      <w:pPr>
        <w:pStyle w:val="af5"/>
        <w:numPr>
          <w:ilvl w:val="0"/>
          <w:numId w:val="3"/>
        </w:numPr>
        <w:spacing w:before="120"/>
        <w:ind w:left="690" w:hanging="240"/>
        <w:rPr>
          <w:rFonts w:ascii="等线" w:eastAsia="等线" w:hAnsi="Times New Roman"/>
          <w:color w:val="000000"/>
        </w:rPr>
      </w:pPr>
      <w:r w:rsidRPr="00CD04B6">
        <w:rPr>
          <w:rFonts w:ascii="等线" w:eastAsia="等线" w:hAnsi="Times New Roman"/>
          <w:color w:val="000000"/>
        </w:rPr>
        <w:t>JW (Cayman) Therapeutics Co. Ltd, a leading clinical and pre-clinical stage cell therapy company in China, in connection with its US$400 million global offering on the Main Board of the HKEx</w:t>
      </w:r>
    </w:p>
    <w:p w14:paraId="494B97B2" w14:textId="77777777" w:rsidR="00CD04B6" w:rsidRDefault="00CD04B6" w:rsidP="00CD04B6">
      <w:pPr>
        <w:pStyle w:val="af5"/>
        <w:numPr>
          <w:ilvl w:val="0"/>
          <w:numId w:val="4"/>
        </w:numPr>
        <w:spacing w:before="120"/>
        <w:ind w:left="690" w:hanging="240"/>
        <w:rPr>
          <w:rFonts w:ascii="等线" w:eastAsia="等线" w:hAnsi="Times New Roman"/>
          <w:color w:val="000000"/>
        </w:rPr>
      </w:pPr>
      <w:r w:rsidRPr="00CD04B6">
        <w:rPr>
          <w:rFonts w:ascii="等线" w:eastAsia="等线" w:hAnsi="Times New Roman"/>
          <w:color w:val="000000"/>
        </w:rPr>
        <w:t>Represented WuXi Biologics (Cayman) Inc. (HKEx stock code: 2269) and its controlling shareholders in successive primary and secondary placing transactions since the listing on the Main Board of the HKEx, with an aggregate transaction value of over US$12.5 billion</w:t>
      </w:r>
    </w:p>
    <w:p w14:paraId="1DEC1C4B" w14:textId="77777777" w:rsidR="00CD04B6" w:rsidRDefault="00CD04B6" w:rsidP="00CD04B6">
      <w:pPr>
        <w:pStyle w:val="af5"/>
        <w:numPr>
          <w:ilvl w:val="0"/>
          <w:numId w:val="5"/>
        </w:numPr>
        <w:spacing w:before="120"/>
        <w:ind w:left="690" w:hanging="240"/>
        <w:rPr>
          <w:rFonts w:ascii="等线" w:eastAsia="等线" w:hAnsi="Times New Roman"/>
          <w:color w:val="000000"/>
        </w:rPr>
      </w:pPr>
      <w:r w:rsidRPr="00CD04B6">
        <w:rPr>
          <w:rFonts w:ascii="等线" w:eastAsia="等线" w:hAnsi="Times New Roman"/>
          <w:color w:val="000000"/>
        </w:rPr>
        <w:t>Represented Morgan Stanley, Huatai Securities, Goldman Sachs and J.P. Morgan as placing agents in the H-Share placement of WuXi AppTec Co., Ltd. (HKEx stock code: 2359) amounted up to over US$7 billion</w:t>
      </w:r>
    </w:p>
    <w:p w14:paraId="6F6E429A" w14:textId="77777777" w:rsidR="00CD04B6" w:rsidRDefault="00CD04B6" w:rsidP="00CD04B6">
      <w:pPr>
        <w:pStyle w:val="af5"/>
        <w:numPr>
          <w:ilvl w:val="0"/>
          <w:numId w:val="6"/>
        </w:numPr>
        <w:spacing w:before="120"/>
        <w:ind w:left="690" w:hanging="240"/>
        <w:rPr>
          <w:rFonts w:ascii="等线" w:eastAsia="等线" w:hAnsi="Times New Roman"/>
          <w:color w:val="000000"/>
        </w:rPr>
      </w:pPr>
      <w:r w:rsidRPr="00CD04B6">
        <w:rPr>
          <w:rFonts w:ascii="等线" w:eastAsia="等线" w:hAnsi="Times New Roman"/>
          <w:color w:val="000000"/>
        </w:rPr>
        <w:t>Represented Jinxin Fertility Group Limited (HKEx stock code: 1951) and its substantial shareholder in successive primary and secondary placing transactions since the listing on the Main Board of the HKEx, with an aggregate transaction value of over US$408 million</w:t>
      </w:r>
    </w:p>
    <w:p w14:paraId="24103246" w14:textId="77777777" w:rsidR="00CD04B6" w:rsidRDefault="00CD04B6" w:rsidP="00CD04B6">
      <w:pPr>
        <w:pStyle w:val="af5"/>
        <w:numPr>
          <w:ilvl w:val="0"/>
          <w:numId w:val="7"/>
        </w:numPr>
        <w:spacing w:before="120"/>
        <w:ind w:left="690" w:hanging="240"/>
        <w:rPr>
          <w:rFonts w:ascii="等线" w:eastAsia="等线" w:hAnsi="Times New Roman"/>
          <w:color w:val="000000"/>
        </w:rPr>
      </w:pPr>
      <w:r w:rsidRPr="00CD04B6">
        <w:rPr>
          <w:rFonts w:ascii="等线" w:eastAsia="等线" w:hAnsi="Times New Roman"/>
          <w:color w:val="000000"/>
        </w:rPr>
        <w:t>Jinxin Fertility Group Limited in its US$400 million global offering and initial public offering on the Main Board of the HKEx</w:t>
      </w:r>
    </w:p>
    <w:p w14:paraId="74C17104" w14:textId="77777777" w:rsidR="00CD04B6" w:rsidRDefault="00CD04B6" w:rsidP="00CD04B6">
      <w:pPr>
        <w:pStyle w:val="af5"/>
        <w:numPr>
          <w:ilvl w:val="0"/>
          <w:numId w:val="8"/>
        </w:numPr>
        <w:spacing w:before="120"/>
        <w:ind w:left="690" w:hanging="240"/>
        <w:rPr>
          <w:rFonts w:ascii="等线" w:eastAsia="等线" w:hAnsi="Times New Roman"/>
          <w:color w:val="000000"/>
        </w:rPr>
      </w:pPr>
      <w:r w:rsidRPr="00CD04B6">
        <w:rPr>
          <w:rFonts w:ascii="等线" w:eastAsia="等线" w:hAnsi="Times New Roman"/>
          <w:color w:val="000000"/>
        </w:rPr>
        <w:t>Morgan Stanley Asia Limited, Huatai Financial Holdings (Hong Kong) Limited and Goldman Sachs (Asia) L.L.C. as sponsors and global coordinators in the US$1 billion global H-share offering of WuXi AppTech Co., Ltd on the Main Board of the HKEx</w:t>
      </w:r>
    </w:p>
    <w:p w14:paraId="6387F348" w14:textId="77777777" w:rsidR="00CD04B6" w:rsidRDefault="00CD04B6" w:rsidP="00CD04B6">
      <w:pPr>
        <w:pStyle w:val="af5"/>
        <w:numPr>
          <w:ilvl w:val="0"/>
          <w:numId w:val="9"/>
        </w:numPr>
        <w:spacing w:before="120"/>
        <w:ind w:left="690" w:hanging="240"/>
        <w:rPr>
          <w:rFonts w:ascii="等线" w:eastAsia="等线" w:hAnsi="Times New Roman"/>
          <w:color w:val="000000"/>
        </w:rPr>
      </w:pPr>
      <w:r w:rsidRPr="00CD04B6">
        <w:rPr>
          <w:rFonts w:ascii="等线" w:eastAsia="等线" w:hAnsi="Times New Roman"/>
          <w:color w:val="000000"/>
        </w:rPr>
        <w:t>Bank of America Merrill Lynch, Morgan Stanley and China Merchants Securities as sponsors in connection with the approximately US $510 million global offering and initial public offering of WuXi Biologics (Cayman) Inc. on the Main Board of the HKEx</w:t>
      </w:r>
    </w:p>
    <w:p w14:paraId="56B3C3D1" w14:textId="77777777" w:rsidR="00CD04B6" w:rsidRDefault="00CD04B6" w:rsidP="00CD04B6">
      <w:pPr>
        <w:pStyle w:val="af5"/>
        <w:numPr>
          <w:ilvl w:val="0"/>
          <w:numId w:val="10"/>
        </w:numPr>
        <w:spacing w:before="120"/>
        <w:ind w:left="690" w:hanging="240"/>
        <w:rPr>
          <w:rFonts w:ascii="等线" w:eastAsia="等线" w:hAnsi="Times New Roman"/>
          <w:color w:val="000000"/>
        </w:rPr>
      </w:pPr>
      <w:r w:rsidRPr="00CD04B6">
        <w:rPr>
          <w:rFonts w:ascii="等线" w:eastAsia="等线" w:hAnsi="Times New Roman"/>
          <w:color w:val="000000"/>
        </w:rPr>
        <w:t>Bank of America Merrill Lynch and Goldman Sachs as sponsors for the US $205 million spin-off listing of Frontage, the US subsidiary of TigerMed</w:t>
      </w:r>
    </w:p>
    <w:p w14:paraId="166651EC" w14:textId="77777777" w:rsidR="00CD04B6" w:rsidRDefault="00CD04B6" w:rsidP="00CD04B6">
      <w:pPr>
        <w:pStyle w:val="af5"/>
        <w:numPr>
          <w:ilvl w:val="0"/>
          <w:numId w:val="11"/>
        </w:numPr>
        <w:spacing w:before="120"/>
        <w:ind w:left="690" w:hanging="240"/>
        <w:rPr>
          <w:rFonts w:ascii="等线" w:eastAsia="等线" w:hAnsi="Times New Roman"/>
          <w:color w:val="000000"/>
        </w:rPr>
      </w:pPr>
      <w:r w:rsidRPr="00CD04B6">
        <w:rPr>
          <w:rFonts w:ascii="等线" w:eastAsia="等线" w:hAnsi="Times New Roman"/>
          <w:color w:val="000000"/>
        </w:rPr>
        <w:t>Bank of America Merrill Lynch as sponsor and Morgan Stanley, Citigroup Global Capital Asia Limited and China International Capital Corporation as global coordinators in connection with its US $200 million global offering of Koolearn Technology Holding Ltd. on the Main Board of the HKEx</w:t>
      </w:r>
    </w:p>
    <w:p w14:paraId="1FE7FECA" w14:textId="77777777" w:rsidR="00CD04B6" w:rsidRDefault="00CD04B6" w:rsidP="00CD04B6">
      <w:pPr>
        <w:pStyle w:val="af5"/>
        <w:numPr>
          <w:ilvl w:val="0"/>
          <w:numId w:val="12"/>
        </w:numPr>
        <w:spacing w:before="120"/>
        <w:ind w:left="690" w:hanging="240"/>
        <w:rPr>
          <w:rFonts w:ascii="等线" w:eastAsia="等线" w:hAnsi="Times New Roman"/>
          <w:color w:val="000000"/>
        </w:rPr>
      </w:pPr>
      <w:r w:rsidRPr="00CD04B6">
        <w:rPr>
          <w:rFonts w:ascii="等线" w:eastAsia="等线" w:hAnsi="Times New Roman"/>
          <w:color w:val="000000"/>
        </w:rPr>
        <w:t>Citigroup and CCB International Capital Limited as joint sponsors and joint global coordinators in connection with the US $113 million global offering and initial public offering of Zhaoqing Kepei Education Group Limited on the Main Board of the HKEx</w:t>
      </w:r>
    </w:p>
    <w:p w14:paraId="6884983B" w14:textId="77777777" w:rsidR="00CD04B6" w:rsidRDefault="00CD04B6" w:rsidP="00CD04B6">
      <w:pPr>
        <w:pStyle w:val="af5"/>
        <w:numPr>
          <w:ilvl w:val="0"/>
          <w:numId w:val="13"/>
        </w:numPr>
        <w:spacing w:before="120"/>
        <w:ind w:left="690" w:hanging="240"/>
        <w:rPr>
          <w:rFonts w:ascii="等线" w:eastAsia="等线" w:hAnsi="Times New Roman"/>
          <w:color w:val="000000"/>
        </w:rPr>
      </w:pPr>
      <w:r w:rsidRPr="00CD04B6">
        <w:rPr>
          <w:rFonts w:ascii="等线" w:eastAsia="等线" w:hAnsi="Times New Roman"/>
          <w:color w:val="000000"/>
        </w:rPr>
        <w:t>Goldman Sachs (Asia) L.L.C., CLSA Limited, UBS AG, Hong Kong branch and Guotai Junan Securities (Hong Kong Limited) as underwriters in the HK $900 million global offering of Hua Medicine on the Main Board of The Stock Exchange of Hong Kong Limited, one of the first Chapter 18A IPOs in Hong Kong</w:t>
      </w:r>
    </w:p>
    <w:p w14:paraId="5BE6780F" w14:textId="77777777" w:rsidR="00CD04B6" w:rsidRDefault="00CD04B6" w:rsidP="00CD04B6">
      <w:pPr>
        <w:pStyle w:val="af5"/>
        <w:numPr>
          <w:ilvl w:val="0"/>
          <w:numId w:val="14"/>
        </w:numPr>
        <w:spacing w:before="120"/>
        <w:ind w:left="690" w:hanging="240"/>
        <w:rPr>
          <w:rFonts w:ascii="等线" w:eastAsia="等线" w:hAnsi="Times New Roman"/>
          <w:color w:val="000000"/>
        </w:rPr>
      </w:pPr>
      <w:r w:rsidRPr="00CD04B6">
        <w:rPr>
          <w:rFonts w:ascii="等线" w:eastAsia="等线" w:hAnsi="Times New Roman"/>
          <w:color w:val="000000"/>
        </w:rPr>
        <w:t>Jacobson Pharma Corporation Limited, a leading pharmaceutical company in Hong Kong, in its global offering and initial public offering on the Main Board of the HKEx</w:t>
      </w:r>
    </w:p>
    <w:p w14:paraId="192CB678" w14:textId="77777777" w:rsidR="00CD04B6" w:rsidRDefault="00CD04B6" w:rsidP="00CD04B6">
      <w:pPr>
        <w:pStyle w:val="af5"/>
        <w:numPr>
          <w:ilvl w:val="0"/>
          <w:numId w:val="15"/>
        </w:numPr>
        <w:spacing w:before="120"/>
        <w:ind w:left="690" w:hanging="240"/>
        <w:rPr>
          <w:rFonts w:ascii="等线" w:eastAsia="等线" w:hAnsi="Times New Roman"/>
          <w:color w:val="000000"/>
        </w:rPr>
      </w:pPr>
      <w:r w:rsidRPr="00CD04B6">
        <w:rPr>
          <w:rFonts w:ascii="等线" w:eastAsia="等线" w:hAnsi="Times New Roman"/>
          <w:color w:val="000000"/>
        </w:rPr>
        <w:t>Tianli Education International Holdings Limited in its HK $1.73 billion (US $220 million) global offering and initial public offering on the Main Board of the HKEx</w:t>
      </w:r>
    </w:p>
    <w:p w14:paraId="1A1DA16A" w14:textId="77777777" w:rsidR="00CD04B6" w:rsidRDefault="00CD04B6" w:rsidP="00CD04B6">
      <w:pPr>
        <w:pStyle w:val="af5"/>
        <w:numPr>
          <w:ilvl w:val="0"/>
          <w:numId w:val="16"/>
        </w:numPr>
        <w:spacing w:before="120"/>
        <w:ind w:left="690" w:hanging="240"/>
        <w:rPr>
          <w:rFonts w:ascii="等线" w:eastAsia="等线" w:hAnsi="Times New Roman"/>
          <w:color w:val="000000"/>
        </w:rPr>
      </w:pPr>
      <w:r w:rsidRPr="00CD04B6">
        <w:rPr>
          <w:rFonts w:ascii="等线" w:eastAsia="等线" w:hAnsi="Times New Roman"/>
          <w:color w:val="000000"/>
        </w:rPr>
        <w:t>Bank of America Merrill Lynch and Morgan Stanley as sponsors in connection with the approximately US $1.15 billion initial public offering (before the exercise of the over-allotment option) of Dali Foods Group Company Limited on the Main Board of the HKEx</w:t>
      </w:r>
    </w:p>
    <w:p w14:paraId="46F08678" w14:textId="77777777" w:rsidR="00CD04B6" w:rsidRDefault="00CD04B6" w:rsidP="00CD04B6">
      <w:pPr>
        <w:pStyle w:val="af5"/>
        <w:numPr>
          <w:ilvl w:val="0"/>
          <w:numId w:val="17"/>
        </w:numPr>
        <w:spacing w:before="120"/>
        <w:ind w:left="690" w:hanging="240"/>
        <w:rPr>
          <w:rFonts w:ascii="等线" w:eastAsia="等线" w:hAnsi="Times New Roman"/>
          <w:color w:val="000000"/>
        </w:rPr>
      </w:pPr>
      <w:r w:rsidRPr="00CD04B6">
        <w:rPr>
          <w:rFonts w:ascii="等线" w:eastAsia="等线" w:hAnsi="Times New Roman"/>
          <w:color w:val="000000"/>
        </w:rPr>
        <w:t>Citigroup Global Markets Asia Limited, Citigroup Global Markets Limited, CITIC CLSA Capital Markets Limited and CLSA Limited as joint global sponsors, joint global coordinators and joint lead managers in connection with the US $88 million H-share initial public offering of Wenzhou Kangning Hospital Co., Ltd. on the Main Board of the HKEx</w:t>
      </w:r>
    </w:p>
    <w:p w14:paraId="5033FDE6" w14:textId="77777777" w:rsidR="00CD04B6" w:rsidRDefault="00CD04B6" w:rsidP="00CD04B6">
      <w:pPr>
        <w:pStyle w:val="af5"/>
        <w:numPr>
          <w:ilvl w:val="0"/>
          <w:numId w:val="18"/>
        </w:numPr>
        <w:spacing w:before="120"/>
        <w:ind w:left="690" w:hanging="240"/>
        <w:rPr>
          <w:rFonts w:ascii="等线" w:eastAsia="等线" w:hAnsi="Times New Roman"/>
          <w:color w:val="000000"/>
        </w:rPr>
      </w:pPr>
      <w:r w:rsidRPr="00CD04B6">
        <w:rPr>
          <w:rFonts w:ascii="等线" w:eastAsia="等线" w:hAnsi="Times New Roman"/>
          <w:color w:val="000000"/>
        </w:rPr>
        <w:t>Morgan Stanley, Goldman Sachs and China International Capital Corporation as the underwriters in connection with the approximately US $248 million primary listing and global offering of IMAX China holding, Inc., a subsidiary of IMAX Corporation, on the Main Board of the HKEx</w:t>
      </w:r>
    </w:p>
    <w:p w14:paraId="2EC69F4D" w14:textId="77777777" w:rsidR="00CD04B6" w:rsidRDefault="00CD04B6" w:rsidP="00CD04B6">
      <w:pPr>
        <w:pStyle w:val="af5"/>
        <w:numPr>
          <w:ilvl w:val="0"/>
          <w:numId w:val="19"/>
        </w:numPr>
        <w:spacing w:before="120"/>
        <w:ind w:left="690" w:hanging="240"/>
        <w:rPr>
          <w:rFonts w:ascii="等线" w:eastAsia="等线" w:hAnsi="Times New Roman"/>
          <w:color w:val="000000"/>
        </w:rPr>
      </w:pPr>
      <w:r w:rsidRPr="00CD04B6">
        <w:rPr>
          <w:rFonts w:ascii="等线" w:eastAsia="等线" w:hAnsi="Times New Roman"/>
          <w:color w:val="000000"/>
        </w:rPr>
        <w:t>Harmonicare Medical Holdings Limited, a private obstetrics and gynecology hospital group, in connection with its US $205.1 million (HK $1.59 billion) global offering and primary listing on the Main Board of the HKEx</w:t>
      </w:r>
    </w:p>
    <w:p w14:paraId="1D98E865" w14:textId="77777777" w:rsidR="00CD04B6" w:rsidRDefault="00CD04B6" w:rsidP="00CD04B6">
      <w:pPr>
        <w:pStyle w:val="af5"/>
        <w:numPr>
          <w:ilvl w:val="0"/>
          <w:numId w:val="20"/>
        </w:numPr>
        <w:spacing w:before="120"/>
        <w:ind w:left="690" w:hanging="240"/>
        <w:rPr>
          <w:rFonts w:ascii="等线" w:eastAsia="等线" w:hAnsi="Times New Roman"/>
          <w:color w:val="000000"/>
        </w:rPr>
      </w:pPr>
      <w:r w:rsidRPr="00CD04B6">
        <w:rPr>
          <w:rFonts w:ascii="等线" w:eastAsia="等线" w:hAnsi="Times New Roman"/>
          <w:color w:val="000000"/>
        </w:rPr>
        <w:t>CGN Power Co., Ltd., the largest nuclear power producer in China, in connection with its US $3.2 billion (US $3.6 billion upon full exercise of over-allotment option) primary listing on the Main Board of the HKEx and global offering</w:t>
      </w:r>
    </w:p>
    <w:p w14:paraId="77D6F76B" w14:textId="77777777" w:rsidR="00CD04B6" w:rsidRDefault="00CD04B6" w:rsidP="00CD04B6">
      <w:pPr>
        <w:pStyle w:val="af5"/>
        <w:numPr>
          <w:ilvl w:val="0"/>
          <w:numId w:val="21"/>
        </w:numPr>
        <w:spacing w:before="120"/>
        <w:ind w:left="690" w:hanging="240"/>
        <w:rPr>
          <w:rFonts w:ascii="等线" w:eastAsia="等线" w:hAnsi="Times New Roman"/>
          <w:color w:val="000000"/>
        </w:rPr>
      </w:pPr>
      <w:r w:rsidRPr="00CD04B6">
        <w:rPr>
          <w:rFonts w:ascii="等线" w:eastAsia="等线" w:hAnsi="Times New Roman"/>
          <w:color w:val="000000"/>
        </w:rPr>
        <w:t>Fu Shou Yuan International Group Limited, a death care services provider in the PRC, in its US $215 million primary listing and global offering of ordinary shares on the Main Board of the HKEx</w:t>
      </w:r>
    </w:p>
    <w:p w14:paraId="40FC2745" w14:textId="77777777" w:rsidR="00CD04B6" w:rsidRDefault="00CD04B6" w:rsidP="00CD04B6">
      <w:pPr>
        <w:pStyle w:val="af5"/>
        <w:numPr>
          <w:ilvl w:val="0"/>
          <w:numId w:val="22"/>
        </w:numPr>
        <w:spacing w:before="120"/>
        <w:ind w:left="690" w:hanging="240"/>
        <w:rPr>
          <w:rFonts w:ascii="等线" w:eastAsia="等线" w:hAnsi="Times New Roman"/>
          <w:color w:val="000000"/>
        </w:rPr>
      </w:pPr>
      <w:r w:rsidRPr="00CD04B6">
        <w:rPr>
          <w:rFonts w:ascii="等线" w:eastAsia="等线" w:hAnsi="Times New Roman"/>
          <w:color w:val="000000"/>
        </w:rPr>
        <w:t>Future Land Development Holdings, a Chinese real estate developer, in connection with the HK $2.06 billion (US $265 million) Hong Kong initial public offering</w:t>
      </w:r>
    </w:p>
    <w:p w14:paraId="0BCEF227" w14:textId="77777777" w:rsidR="00CD04B6" w:rsidRDefault="00CD04B6" w:rsidP="00CD04B6">
      <w:pPr>
        <w:pStyle w:val="af5"/>
        <w:numPr>
          <w:ilvl w:val="0"/>
          <w:numId w:val="23"/>
        </w:numPr>
        <w:spacing w:before="120"/>
        <w:ind w:left="690" w:hanging="240"/>
        <w:rPr>
          <w:rFonts w:ascii="等线" w:eastAsia="等线" w:hAnsi="Times New Roman"/>
          <w:color w:val="000000"/>
        </w:rPr>
      </w:pPr>
      <w:r w:rsidRPr="00CD04B6">
        <w:rPr>
          <w:rFonts w:ascii="等线" w:eastAsia="等线" w:hAnsi="Times New Roman"/>
          <w:color w:val="000000"/>
        </w:rPr>
        <w:t>NASDAQ-listed Melco Crown Entertainment Limited for dual primary listing by way of introduction on the Main Board of the HKSE. The sponsors were Credit Suisse and Deutsche Bank</w:t>
      </w:r>
    </w:p>
    <w:p w14:paraId="596025C3" w14:textId="77777777" w:rsidR="00CD04B6" w:rsidRDefault="00CD04B6" w:rsidP="00CD04B6">
      <w:pPr>
        <w:pStyle w:val="af5"/>
        <w:numPr>
          <w:ilvl w:val="0"/>
          <w:numId w:val="24"/>
        </w:numPr>
        <w:spacing w:before="120"/>
        <w:ind w:left="690" w:hanging="240"/>
        <w:rPr>
          <w:rFonts w:ascii="等线" w:eastAsia="等线" w:hAnsi="Times New Roman"/>
          <w:color w:val="000000"/>
        </w:rPr>
      </w:pPr>
      <w:r w:rsidRPr="00CD04B6">
        <w:rPr>
          <w:rFonts w:ascii="等线" w:eastAsia="等线" w:hAnsi="Times New Roman"/>
          <w:color w:val="000000"/>
        </w:rPr>
        <w:t>GE China in obtaining an exemption from Hong Kong Securities and Futures Commission in relation to documents disclosure requirement of privatization of a public company</w:t>
      </w:r>
    </w:p>
    <w:p w14:paraId="1E0414A9" w14:textId="77777777" w:rsidR="00CD04B6" w:rsidRDefault="00CD04B6" w:rsidP="00CD04B6">
      <w:pPr>
        <w:pStyle w:val="af5"/>
        <w:numPr>
          <w:ilvl w:val="0"/>
          <w:numId w:val="25"/>
        </w:numPr>
        <w:spacing w:before="120"/>
        <w:ind w:left="690" w:hanging="240"/>
        <w:rPr>
          <w:rFonts w:ascii="等线" w:eastAsia="等线" w:hAnsi="Times New Roman"/>
          <w:color w:val="000000"/>
        </w:rPr>
      </w:pPr>
      <w:r w:rsidRPr="00CD04B6">
        <w:rPr>
          <w:rFonts w:ascii="等线" w:eastAsia="等线" w:hAnsi="Times New Roman"/>
          <w:color w:val="000000"/>
        </w:rPr>
        <w:t>The underwriters, led by CICC, Goldman Sachs, J.P. Morgan, Morgan Stanley, BOCI and Credit Suisse, in the US $1.7 billion initial public offering, Rule 144A/Regulation S offering and Hong Kong Stock Exchange listing of the H shares of Changsha Zoomlion Heavy Industry Science and Technology Development Co., Ltd., a leading China-based construction machinery company</w:t>
      </w:r>
    </w:p>
    <w:p w14:paraId="5DD586F0" w14:textId="77777777" w:rsidR="00CD04B6" w:rsidRDefault="00CD04B6" w:rsidP="00CD04B6">
      <w:pPr>
        <w:pStyle w:val="af5"/>
        <w:numPr>
          <w:ilvl w:val="0"/>
          <w:numId w:val="26"/>
        </w:numPr>
        <w:spacing w:before="120"/>
        <w:ind w:left="690" w:hanging="240"/>
        <w:rPr>
          <w:rFonts w:ascii="等线" w:eastAsia="等线" w:hAnsi="Times New Roman"/>
          <w:color w:val="000000"/>
        </w:rPr>
      </w:pPr>
      <w:r w:rsidRPr="00CD04B6">
        <w:rPr>
          <w:rFonts w:ascii="等线" w:eastAsia="等线" w:hAnsi="Times New Roman"/>
          <w:color w:val="000000"/>
        </w:rPr>
        <w:t>Morgan Stanley and UBS as joint sponsors in the US $850 million initial public offering of shares in Sihuan Pharmaceutical Holdings Group Ltd. on the Main Board of the HKEx</w:t>
      </w:r>
    </w:p>
    <w:p w14:paraId="000CF50F" w14:textId="77777777" w:rsidR="00CD04B6" w:rsidRDefault="00CD04B6" w:rsidP="00CD04B6">
      <w:pPr>
        <w:pStyle w:val="af5"/>
        <w:numPr>
          <w:ilvl w:val="0"/>
          <w:numId w:val="27"/>
        </w:numPr>
        <w:spacing w:before="120"/>
        <w:ind w:left="690" w:hanging="240"/>
        <w:rPr>
          <w:rFonts w:ascii="等线" w:eastAsia="等线" w:hAnsi="Times New Roman"/>
          <w:color w:val="000000"/>
        </w:rPr>
      </w:pPr>
      <w:r w:rsidRPr="00CD04B6">
        <w:rPr>
          <w:rFonts w:ascii="等线" w:eastAsia="等线" w:hAnsi="Times New Roman"/>
          <w:color w:val="000000"/>
        </w:rPr>
        <w:t>Midas Holdings Limited, a Singapore-incorporated company, in its secondary listing on the HKEx. The Company is the leading manufacturer of aluminum alloy extrusion products for the passenger rail transportation sector in China. The deal raised approximately HK $1.17 billion (before exercise of the over-allotment option) by way of a Hong Kong public offering and an international placing</w:t>
      </w:r>
    </w:p>
    <w:p w14:paraId="1607AA0A" w14:textId="77777777" w:rsidR="00CD04B6" w:rsidRDefault="00CD04B6" w:rsidP="00CD04B6">
      <w:pPr>
        <w:pStyle w:val="af5"/>
        <w:spacing w:before="120"/>
        <w:rPr>
          <w:rFonts w:ascii="等线" w:eastAsia="等线" w:hAnsi="Times New Roman"/>
          <w:color w:val="000000"/>
        </w:rPr>
      </w:pPr>
      <w:r w:rsidRPr="00CD04B6">
        <w:rPr>
          <w:rFonts w:ascii="等线" w:eastAsia="等线" w:hAnsi="Times New Roman"/>
          <w:color w:val="000000"/>
        </w:rPr>
        <w:t>Mergers and Acquisitions</w:t>
      </w:r>
    </w:p>
    <w:p w14:paraId="3638A1E2" w14:textId="77777777" w:rsidR="00CD04B6" w:rsidRDefault="00CD04B6" w:rsidP="00CD04B6">
      <w:pPr>
        <w:pStyle w:val="af5"/>
        <w:numPr>
          <w:ilvl w:val="0"/>
          <w:numId w:val="28"/>
        </w:numPr>
        <w:spacing w:before="120"/>
        <w:ind w:left="690" w:hanging="240"/>
        <w:rPr>
          <w:rFonts w:ascii="等线" w:eastAsia="等线" w:hAnsi="Times New Roman"/>
          <w:color w:val="000000"/>
        </w:rPr>
      </w:pPr>
      <w:r w:rsidRPr="00CD04B6">
        <w:rPr>
          <w:rFonts w:ascii="等线" w:eastAsia="等线" w:hAnsi="Times New Roman"/>
          <w:color w:val="000000"/>
        </w:rPr>
        <w:t>Advised Societe Generale (EURONEXT: GLE) on the formation of its joint venture with AllianceBernstein (NYSE: AB) combining their global cash equities and equity research business, with Societe Generale taking an initial 51% interest in the joint venture, covering legal due diligence, licensing and other regulatory requirements under Hong Kong law</w:t>
      </w:r>
    </w:p>
    <w:p w14:paraId="3276D081" w14:textId="77777777" w:rsidR="00CD04B6" w:rsidRDefault="00CD04B6" w:rsidP="00CD04B6">
      <w:pPr>
        <w:pStyle w:val="af5"/>
        <w:numPr>
          <w:ilvl w:val="0"/>
          <w:numId w:val="29"/>
        </w:numPr>
        <w:spacing w:before="120"/>
        <w:ind w:left="690" w:hanging="240"/>
        <w:rPr>
          <w:rFonts w:ascii="等线" w:eastAsia="等线" w:hAnsi="Times New Roman"/>
          <w:color w:val="000000"/>
        </w:rPr>
      </w:pPr>
      <w:r w:rsidRPr="00CD04B6">
        <w:rPr>
          <w:rFonts w:ascii="等线" w:eastAsia="等线" w:hAnsi="Times New Roman"/>
          <w:color w:val="000000"/>
        </w:rPr>
        <w:t xml:space="preserve">Advised SUEZ on its merger with Veolia that gave an implied value for </w:t>
      </w:r>
      <w:r w:rsidRPr="00CD04B6">
        <w:rPr>
          <w:rFonts w:ascii="等线" w:eastAsia="等线" w:hAnsi="Times New Roman"/>
          <w:color w:val="000000"/>
        </w:rPr>
        <w:t>€</w:t>
      </w:r>
      <w:r w:rsidRPr="00CD04B6">
        <w:rPr>
          <w:rFonts w:ascii="等线" w:eastAsia="等线" w:hAnsi="Times New Roman"/>
          <w:color w:val="000000"/>
        </w:rPr>
        <w:t>13 billion for SUEZ. Our role is a regional one covering Asia including Hong Kong, PRC, Taiwan, Macau, Singapore, Malaysia, Thailand, Indonesia, Philippines and Vietnam</w:t>
      </w:r>
    </w:p>
    <w:p w14:paraId="68FE6C0C" w14:textId="77777777" w:rsidR="00CD04B6" w:rsidRDefault="00CD04B6" w:rsidP="00CD04B6">
      <w:pPr>
        <w:pStyle w:val="af5"/>
        <w:numPr>
          <w:ilvl w:val="0"/>
          <w:numId w:val="30"/>
        </w:numPr>
        <w:spacing w:before="120"/>
        <w:ind w:left="690" w:hanging="240"/>
        <w:rPr>
          <w:rFonts w:ascii="等线" w:eastAsia="等线" w:hAnsi="Times New Roman"/>
          <w:color w:val="000000"/>
        </w:rPr>
      </w:pPr>
      <w:r w:rsidRPr="00CD04B6">
        <w:rPr>
          <w:rFonts w:ascii="等线" w:eastAsia="等线" w:hAnsi="Times New Roman"/>
          <w:color w:val="000000"/>
        </w:rPr>
        <w:t>Advised Suez (Asia) Limited on its HK$6,533 million acquisition of NWS Holdings Limited</w:t>
      </w:r>
      <w:r w:rsidRPr="00CD04B6">
        <w:rPr>
          <w:rFonts w:ascii="等线" w:eastAsia="等线" w:hAnsi="Times New Roman"/>
          <w:color w:val="000000"/>
        </w:rPr>
        <w:t>’</w:t>
      </w:r>
      <w:r w:rsidRPr="00CD04B6">
        <w:rPr>
          <w:rFonts w:ascii="等线" w:eastAsia="等线" w:hAnsi="Times New Roman"/>
          <w:color w:val="000000"/>
        </w:rPr>
        <w:t>s (HKEx stock code: 659) stakes in their joint venture businesses in the Greater China region, which operates over 70 water and waste projects in more than 30 cities</w:t>
      </w:r>
    </w:p>
    <w:p w14:paraId="099245CA" w14:textId="77777777" w:rsidR="00CD04B6" w:rsidRDefault="00CD04B6" w:rsidP="00CD04B6">
      <w:pPr>
        <w:pStyle w:val="af5"/>
        <w:numPr>
          <w:ilvl w:val="0"/>
          <w:numId w:val="31"/>
        </w:numPr>
        <w:spacing w:before="120"/>
        <w:ind w:left="690" w:hanging="240"/>
        <w:rPr>
          <w:rFonts w:ascii="等线" w:eastAsia="等线" w:hAnsi="Times New Roman"/>
          <w:color w:val="000000"/>
        </w:rPr>
      </w:pPr>
      <w:r w:rsidRPr="00CD04B6">
        <w:rPr>
          <w:rFonts w:ascii="等线" w:eastAsia="等线" w:hAnsi="Times New Roman"/>
          <w:color w:val="000000"/>
        </w:rPr>
        <w:t>Represented FrieslandCampina in the sale of its Chinese business to Yili Industrial (SHSE: 600887) for RMB380 million</w:t>
      </w:r>
    </w:p>
    <w:p w14:paraId="38104E78" w14:textId="77777777" w:rsidR="00CD04B6" w:rsidRDefault="00CD04B6" w:rsidP="00CD04B6">
      <w:pPr>
        <w:pStyle w:val="af5"/>
        <w:numPr>
          <w:ilvl w:val="0"/>
          <w:numId w:val="32"/>
        </w:numPr>
        <w:spacing w:before="120"/>
        <w:ind w:left="690" w:hanging="240"/>
        <w:rPr>
          <w:rFonts w:ascii="等线" w:eastAsia="等线" w:hAnsi="Times New Roman"/>
          <w:color w:val="000000"/>
        </w:rPr>
      </w:pPr>
      <w:r w:rsidRPr="00CD04B6">
        <w:rPr>
          <w:rFonts w:ascii="等线" w:eastAsia="等线" w:hAnsi="Times New Roman"/>
          <w:color w:val="000000"/>
        </w:rPr>
        <w:t>Represented Boyu Capital in (i) its strategic investment in Jinke Smart Services Group Co., Ltd. (HKEX stock code: 9666) by purchasing 22% of the total issued share capital of the company from its controlling shareholder Jinke Property Group Co., Ltd. (</w:t>
      </w:r>
      <w:r w:rsidRPr="00CD04B6">
        <w:rPr>
          <w:rFonts w:ascii="等线" w:eastAsia="等线" w:hAnsi="Times New Roman"/>
          <w:color w:val="000000"/>
        </w:rPr>
        <w:t>“</w:t>
      </w:r>
      <w:r w:rsidRPr="00CD04B6">
        <w:rPr>
          <w:rFonts w:ascii="等线" w:eastAsia="等线" w:hAnsi="Times New Roman"/>
          <w:color w:val="000000"/>
        </w:rPr>
        <w:t>Jinke Property</w:t>
      </w:r>
      <w:r w:rsidRPr="00CD04B6">
        <w:rPr>
          <w:rFonts w:ascii="等线" w:eastAsia="等线" w:hAnsi="Times New Roman"/>
          <w:color w:val="000000"/>
        </w:rPr>
        <w:t>”</w:t>
      </w:r>
      <w:r w:rsidRPr="00CD04B6">
        <w:rPr>
          <w:rFonts w:ascii="等线" w:eastAsia="等线" w:hAnsi="Times New Roman"/>
          <w:color w:val="000000"/>
        </w:rPr>
        <w:t>, SZSE: 000656) at the price of around HK$3.734 billion; and (ii) making a loan facility in an amount equal to US$156.8 million to a subsidiary of Jinke Property. We sought SFC confirmation on potential implication of takeover code</w:t>
      </w:r>
    </w:p>
    <w:p w14:paraId="169B5326" w14:textId="77777777" w:rsidR="00CD04B6" w:rsidRDefault="00CD04B6" w:rsidP="00CD04B6">
      <w:pPr>
        <w:pStyle w:val="af5"/>
        <w:numPr>
          <w:ilvl w:val="0"/>
          <w:numId w:val="33"/>
        </w:numPr>
        <w:spacing w:before="120"/>
        <w:ind w:left="690" w:hanging="240"/>
        <w:rPr>
          <w:rFonts w:ascii="等线" w:eastAsia="等线" w:hAnsi="Times New Roman"/>
          <w:color w:val="000000"/>
        </w:rPr>
      </w:pPr>
      <w:r w:rsidRPr="00CD04B6">
        <w:rPr>
          <w:rFonts w:ascii="等线" w:eastAsia="等线" w:hAnsi="Times New Roman"/>
          <w:color w:val="000000"/>
        </w:rPr>
        <w:t>Represented Ant Financial, JC Decaux and other investors on two voluntary conditional offers to acquire all of the shares in Clear Media Limited, the largest operator of bus shelter advertising panels in the PRC and a company listed on the Hong Kong Stock Exchange (HKEx stock code: 100). Following the first offer in 2020 which did not attain the requisite acceptance level to effect a compulsory acquisition, the second offer involved a securities offer, which successfully resulted in the largest minority shareholder agreeing to accept and to attain the threshold for privatization and de-listing in late 2021</w:t>
      </w:r>
    </w:p>
    <w:p w14:paraId="375F89F3" w14:textId="77777777" w:rsidR="00CD04B6" w:rsidRDefault="00CD04B6" w:rsidP="00CD04B6">
      <w:pPr>
        <w:pStyle w:val="af5"/>
        <w:numPr>
          <w:ilvl w:val="0"/>
          <w:numId w:val="34"/>
        </w:numPr>
        <w:spacing w:before="120"/>
        <w:ind w:left="690" w:hanging="240"/>
        <w:rPr>
          <w:rFonts w:ascii="等线" w:eastAsia="等线" w:hAnsi="Times New Roman"/>
          <w:color w:val="000000"/>
        </w:rPr>
      </w:pPr>
      <w:r w:rsidRPr="00CD04B6">
        <w:rPr>
          <w:rFonts w:ascii="等线" w:eastAsia="等线" w:hAnsi="Times New Roman"/>
          <w:color w:val="000000"/>
        </w:rPr>
        <w:t>Advised Softbank Vision Fund in its US$ 600 million cornerstone investment in the US$ 3.2 billion initial public offering of JD Logistics Inc. (HKEx stock code: 2618)</w:t>
      </w:r>
    </w:p>
    <w:p w14:paraId="236160B7" w14:textId="77777777" w:rsidR="00CD04B6" w:rsidRDefault="00CD04B6" w:rsidP="00CD04B6">
      <w:pPr>
        <w:pStyle w:val="af5"/>
        <w:numPr>
          <w:ilvl w:val="0"/>
          <w:numId w:val="35"/>
        </w:numPr>
        <w:spacing w:before="120"/>
        <w:ind w:left="690" w:hanging="240"/>
        <w:rPr>
          <w:rFonts w:ascii="等线" w:eastAsia="等线" w:hAnsi="Times New Roman"/>
          <w:color w:val="000000"/>
        </w:rPr>
      </w:pPr>
      <w:r w:rsidRPr="00CD04B6">
        <w:rPr>
          <w:rFonts w:ascii="等线" w:eastAsia="等线" w:hAnsi="Times New Roman"/>
          <w:color w:val="000000"/>
        </w:rPr>
        <w:t>Represented OrbiMed Partners in its US$12.5 million investment in Zhaoke Ophthalmology Limited (HKEx stock code: 6622) through the subscription of certain series B preferred shares</w:t>
      </w:r>
    </w:p>
    <w:p w14:paraId="57DAA95B" w14:textId="77777777" w:rsidR="00CD04B6" w:rsidRDefault="00CD04B6" w:rsidP="00CD04B6">
      <w:pPr>
        <w:pStyle w:val="af5"/>
        <w:numPr>
          <w:ilvl w:val="0"/>
          <w:numId w:val="36"/>
        </w:numPr>
        <w:spacing w:before="120"/>
        <w:ind w:left="690" w:hanging="240"/>
        <w:rPr>
          <w:rFonts w:ascii="等线" w:eastAsia="等线" w:hAnsi="Times New Roman"/>
          <w:color w:val="000000"/>
        </w:rPr>
      </w:pPr>
      <w:r w:rsidRPr="00CD04B6">
        <w:rPr>
          <w:rFonts w:ascii="等线" w:eastAsia="等线" w:hAnsi="Times New Roman"/>
          <w:color w:val="000000"/>
        </w:rPr>
        <w:t>Represented founder of PathLab Medical Laboratories Limited, one of the largest private medical laboratories and diagnostic service providers in Hong Kong, to sell its majority stake to Union Medical Healthcare Limited (HK: 2138) for a total implied valuation of HK$450 million</w:t>
      </w:r>
    </w:p>
    <w:p w14:paraId="2C8EDF49" w14:textId="77777777" w:rsidR="00CD04B6" w:rsidRDefault="00CD04B6" w:rsidP="00CD04B6">
      <w:pPr>
        <w:pStyle w:val="af5"/>
        <w:numPr>
          <w:ilvl w:val="0"/>
          <w:numId w:val="37"/>
        </w:numPr>
        <w:spacing w:before="120"/>
        <w:ind w:left="690" w:hanging="240"/>
        <w:rPr>
          <w:rFonts w:ascii="等线" w:eastAsia="等线" w:hAnsi="Times New Roman"/>
          <w:color w:val="000000"/>
        </w:rPr>
      </w:pPr>
      <w:r w:rsidRPr="00CD04B6">
        <w:rPr>
          <w:rFonts w:ascii="等线" w:eastAsia="等线" w:hAnsi="Times New Roman"/>
          <w:color w:val="000000"/>
        </w:rPr>
        <w:t>Represented a consortium of investors including Ant Financials and JCDecaux in its offer for Clear Media (HKEx stock code:100) valued at approximately US $500 million</w:t>
      </w:r>
    </w:p>
    <w:p w14:paraId="45FADF30" w14:textId="77777777" w:rsidR="00CD04B6" w:rsidRDefault="00CD04B6" w:rsidP="00CD04B6">
      <w:pPr>
        <w:pStyle w:val="af5"/>
        <w:numPr>
          <w:ilvl w:val="0"/>
          <w:numId w:val="38"/>
        </w:numPr>
        <w:spacing w:before="120"/>
        <w:ind w:left="690" w:hanging="240"/>
        <w:rPr>
          <w:rFonts w:ascii="等线" w:eastAsia="等线" w:hAnsi="Times New Roman"/>
          <w:color w:val="000000"/>
        </w:rPr>
      </w:pPr>
      <w:r w:rsidRPr="00CD04B6">
        <w:rPr>
          <w:rFonts w:ascii="等线" w:eastAsia="等线" w:hAnsi="Times New Roman"/>
          <w:color w:val="000000"/>
        </w:rPr>
        <w:t>Represented Huadian Fuxin Energy Corporation Limited (HKEx stock code: 816) to accept the offer from its controlling shareholder (as offereor) relating to its proposed privatization plan by way of merger by absorption and assist in its proposed withdrawal of listing, the aggregate share cancellation price is approximately HK$8.35 billion. The transaction is still ongoing</w:t>
      </w:r>
    </w:p>
    <w:p w14:paraId="49B1DD4C" w14:textId="77777777" w:rsidR="00CD04B6" w:rsidRDefault="00CD04B6" w:rsidP="00CD04B6">
      <w:pPr>
        <w:pStyle w:val="af5"/>
        <w:numPr>
          <w:ilvl w:val="0"/>
          <w:numId w:val="39"/>
        </w:numPr>
        <w:spacing w:before="120"/>
        <w:ind w:left="690" w:hanging="240"/>
        <w:rPr>
          <w:rFonts w:ascii="等线" w:eastAsia="等线" w:hAnsi="Times New Roman"/>
          <w:color w:val="000000"/>
        </w:rPr>
      </w:pPr>
      <w:r w:rsidRPr="00CD04B6">
        <w:rPr>
          <w:rFonts w:ascii="等线" w:eastAsia="等线" w:hAnsi="Times New Roman"/>
          <w:color w:val="000000"/>
        </w:rPr>
        <w:t>Advised Haier Electronics (HKEx stock code:1169) as an offeree (with a red-chip shareholding structure) in its response to an all-securities privatization offer by its parent Haier Smart Home (SHSE 600690), using to-be-listed H Shares as consideration for the offer</w:t>
      </w:r>
    </w:p>
    <w:p w14:paraId="56546502" w14:textId="77777777" w:rsidR="00CD04B6" w:rsidRDefault="00CD04B6" w:rsidP="00CD04B6">
      <w:pPr>
        <w:pStyle w:val="af5"/>
        <w:numPr>
          <w:ilvl w:val="0"/>
          <w:numId w:val="40"/>
        </w:numPr>
        <w:spacing w:before="120"/>
        <w:ind w:left="690" w:hanging="240"/>
        <w:rPr>
          <w:rFonts w:ascii="等线" w:eastAsia="等线" w:hAnsi="Times New Roman"/>
          <w:color w:val="000000"/>
        </w:rPr>
      </w:pPr>
      <w:r w:rsidRPr="00CD04B6">
        <w:rPr>
          <w:rFonts w:ascii="等线" w:eastAsia="等线" w:hAnsi="Times New Roman"/>
          <w:color w:val="000000"/>
        </w:rPr>
        <w:t>Advised China Huaneng Group, a China SOE, on its potential acquisition of GCL New Energy (HKEx stock code : 0451), including clarification with SFC on nominal offer consideration for the potential mandatory general offer obligations under the Takeovers Code</w:t>
      </w:r>
    </w:p>
    <w:p w14:paraId="54328004" w14:textId="77777777" w:rsidR="00CD04B6" w:rsidRDefault="00CD04B6" w:rsidP="00CD04B6">
      <w:pPr>
        <w:pStyle w:val="af5"/>
        <w:numPr>
          <w:ilvl w:val="0"/>
          <w:numId w:val="41"/>
        </w:numPr>
        <w:spacing w:before="120"/>
        <w:ind w:left="690" w:hanging="240"/>
        <w:rPr>
          <w:rFonts w:ascii="等线" w:eastAsia="等线" w:hAnsi="Times New Roman"/>
          <w:color w:val="000000"/>
        </w:rPr>
      </w:pPr>
      <w:r w:rsidRPr="00CD04B6">
        <w:rPr>
          <w:rFonts w:ascii="等线" w:eastAsia="等线" w:hAnsi="Times New Roman"/>
          <w:color w:val="000000"/>
        </w:rPr>
        <w:t>Advised KKR Asian Fund III L.P. on the acquisition of 70 per cent interest in the China lighting business held by a Hong Kong-listed company NVC Lighting Holdings Limited, valuing the deal at US$794m</w:t>
      </w:r>
    </w:p>
    <w:p w14:paraId="7B7AC208" w14:textId="77777777" w:rsidR="00CD04B6" w:rsidRDefault="00CD04B6" w:rsidP="00CD04B6">
      <w:pPr>
        <w:pStyle w:val="af5"/>
        <w:numPr>
          <w:ilvl w:val="0"/>
          <w:numId w:val="42"/>
        </w:numPr>
        <w:spacing w:before="120"/>
        <w:ind w:left="690" w:hanging="240"/>
        <w:rPr>
          <w:rFonts w:ascii="等线" w:eastAsia="等线" w:hAnsi="Times New Roman"/>
          <w:color w:val="000000"/>
        </w:rPr>
      </w:pPr>
      <w:r w:rsidRPr="00CD04B6">
        <w:rPr>
          <w:rFonts w:ascii="等线" w:eastAsia="等线" w:hAnsi="Times New Roman"/>
          <w:color w:val="000000"/>
        </w:rPr>
        <w:t>Advised Chairman of the TCL group regarding the general offer, acting in concert, disclosure of interests, dealings and director</w:t>
      </w:r>
      <w:r w:rsidRPr="00CD04B6">
        <w:rPr>
          <w:rFonts w:ascii="等线" w:eastAsia="等线" w:hAnsi="Times New Roman"/>
          <w:color w:val="000000"/>
        </w:rPr>
        <w:t>’</w:t>
      </w:r>
      <w:r w:rsidRPr="00CD04B6">
        <w:rPr>
          <w:rFonts w:ascii="等线" w:eastAsia="等线" w:hAnsi="Times New Roman"/>
          <w:color w:val="000000"/>
        </w:rPr>
        <w:t>s duties implications arising from the restructuring of the TCL group involving TCL Corporation (SZSE: 000100), TCL Electronics Holdings Limited (HKEx stock code: 1070) and Tonly Electronics Holdings Limited (HKEx stock code: 1249), which resulted in a general offer being launched by TCL Industries Holdings Co., Ltd., which is owned by the Chairman, Suning.com Co., Ltd., Xiaomi Technology Co. Ltd., among others, for the shares in TCL Electronics Holdings Limited for HK$4 billion and the shares in Tonly Electronics Holdings Limited for HK$1 billion</w:t>
      </w:r>
    </w:p>
    <w:p w14:paraId="47CEFCD9" w14:textId="77777777" w:rsidR="00CD04B6" w:rsidRDefault="00CD04B6" w:rsidP="00CD04B6">
      <w:pPr>
        <w:pStyle w:val="af5"/>
        <w:numPr>
          <w:ilvl w:val="0"/>
          <w:numId w:val="43"/>
        </w:numPr>
        <w:spacing w:before="120"/>
        <w:ind w:left="690" w:hanging="240"/>
        <w:rPr>
          <w:rFonts w:ascii="等线" w:eastAsia="等线" w:hAnsi="Times New Roman"/>
          <w:color w:val="000000"/>
        </w:rPr>
      </w:pPr>
      <w:r w:rsidRPr="00CD04B6">
        <w:rPr>
          <w:rFonts w:ascii="等线" w:eastAsia="等线" w:hAnsi="Times New Roman"/>
          <w:color w:val="000000"/>
        </w:rPr>
        <w:t>Largest independent shareholder of Hopewell Holding (HKEx stock code: 0054) in its privatization</w:t>
      </w:r>
    </w:p>
    <w:p w14:paraId="032A93E4" w14:textId="77777777" w:rsidR="00CD04B6" w:rsidRDefault="00CD04B6" w:rsidP="00CD04B6">
      <w:pPr>
        <w:pStyle w:val="af5"/>
        <w:numPr>
          <w:ilvl w:val="0"/>
          <w:numId w:val="44"/>
        </w:numPr>
        <w:spacing w:before="120"/>
        <w:ind w:left="690" w:hanging="240"/>
        <w:rPr>
          <w:rFonts w:ascii="等线" w:eastAsia="等线" w:hAnsi="Times New Roman"/>
          <w:color w:val="000000"/>
        </w:rPr>
      </w:pPr>
      <w:r w:rsidRPr="00CD04B6">
        <w:rPr>
          <w:rFonts w:ascii="等线" w:eastAsia="等线" w:hAnsi="Times New Roman"/>
          <w:color w:val="000000"/>
        </w:rPr>
        <w:t>A bidder seeking to acquire the fixed line network owned and operated by Hutchison Telecommunications Hong Kong Limited (HKEx stock code: 215), which was finally sold to another bidder for HK $14.5 billion</w:t>
      </w:r>
    </w:p>
    <w:p w14:paraId="21E820F9" w14:textId="77777777" w:rsidR="00CD04B6" w:rsidRDefault="00CD04B6" w:rsidP="00CD04B6">
      <w:pPr>
        <w:pStyle w:val="af5"/>
        <w:numPr>
          <w:ilvl w:val="0"/>
          <w:numId w:val="45"/>
        </w:numPr>
        <w:spacing w:before="120"/>
        <w:ind w:left="690" w:hanging="240"/>
        <w:rPr>
          <w:rFonts w:ascii="等线" w:eastAsia="等线" w:hAnsi="Times New Roman"/>
          <w:color w:val="000000"/>
        </w:rPr>
      </w:pPr>
      <w:r w:rsidRPr="00CD04B6">
        <w:rPr>
          <w:rFonts w:ascii="等线" w:eastAsia="等线" w:hAnsi="Times New Roman"/>
          <w:color w:val="000000"/>
        </w:rPr>
        <w:t>The controlling shareholder of Future Land Development Holdings Limited (HKEx stock code: 1030) in its privatization bid valued at US $661 million</w:t>
      </w:r>
    </w:p>
    <w:p w14:paraId="69D69A25" w14:textId="77777777" w:rsidR="00CD04B6" w:rsidRDefault="00CD04B6" w:rsidP="00CD04B6">
      <w:pPr>
        <w:pStyle w:val="af5"/>
        <w:numPr>
          <w:ilvl w:val="0"/>
          <w:numId w:val="46"/>
        </w:numPr>
        <w:spacing w:before="120"/>
        <w:ind w:left="690" w:hanging="240"/>
        <w:rPr>
          <w:rFonts w:ascii="等线" w:eastAsia="等线" w:hAnsi="Times New Roman"/>
          <w:color w:val="000000"/>
        </w:rPr>
      </w:pPr>
      <w:r w:rsidRPr="00CD04B6">
        <w:rPr>
          <w:rFonts w:ascii="等线" w:eastAsia="等线" w:hAnsi="Times New Roman"/>
          <w:color w:val="000000"/>
        </w:rPr>
        <w:t>China Culiangwang Beverages Holdings Limited in connection with the US $400.5 million disposal of its beverage business to Coca-Cola Beverages (Shanghai) Company Limited</w:t>
      </w:r>
    </w:p>
    <w:p w14:paraId="0D54436A" w14:textId="77777777" w:rsidR="00CD04B6" w:rsidRDefault="00CD04B6" w:rsidP="00CD04B6">
      <w:pPr>
        <w:pStyle w:val="af5"/>
        <w:numPr>
          <w:ilvl w:val="0"/>
          <w:numId w:val="47"/>
        </w:numPr>
        <w:spacing w:before="120"/>
        <w:ind w:left="690" w:hanging="240"/>
        <w:rPr>
          <w:rFonts w:ascii="等线" w:eastAsia="等线" w:hAnsi="Times New Roman"/>
          <w:color w:val="000000"/>
        </w:rPr>
      </w:pPr>
      <w:r w:rsidRPr="00CD04B6">
        <w:rPr>
          <w:rFonts w:ascii="等线" w:eastAsia="等线" w:hAnsi="Times New Roman"/>
          <w:color w:val="000000"/>
        </w:rPr>
        <w:t>Advised Hung Hing Printing Group Limited on the sale of its subsidiary Sun Hing Paper Company Limited for US$149 million, a transaction that was categorized as a very substantial disposal</w:t>
      </w:r>
    </w:p>
    <w:p w14:paraId="306681E9" w14:textId="77777777" w:rsidR="00CD04B6" w:rsidRDefault="00CD04B6" w:rsidP="00CD04B6">
      <w:pPr>
        <w:pStyle w:val="af5"/>
        <w:numPr>
          <w:ilvl w:val="0"/>
          <w:numId w:val="48"/>
        </w:numPr>
        <w:spacing w:before="120"/>
        <w:ind w:left="690" w:hanging="240"/>
        <w:rPr>
          <w:rFonts w:ascii="等线" w:eastAsia="等线" w:hAnsi="Times New Roman"/>
          <w:color w:val="000000"/>
        </w:rPr>
      </w:pPr>
      <w:r w:rsidRPr="00CD04B6">
        <w:rPr>
          <w:rFonts w:ascii="等线" w:eastAsia="等线" w:hAnsi="Times New Roman"/>
          <w:color w:val="000000"/>
        </w:rPr>
        <w:t>Home Group Ltd on the sale of its US$53.4 million worth of its shares to Man Wah Holdings in return for a minority stake in Man Wah Holdings</w:t>
      </w:r>
    </w:p>
    <w:p w14:paraId="69F18ECC" w14:textId="77777777" w:rsidR="00CD04B6" w:rsidRDefault="00CD04B6" w:rsidP="00CD04B6">
      <w:pPr>
        <w:pStyle w:val="af5"/>
        <w:numPr>
          <w:ilvl w:val="0"/>
          <w:numId w:val="49"/>
        </w:numPr>
        <w:spacing w:before="120"/>
        <w:ind w:left="690" w:hanging="240"/>
        <w:rPr>
          <w:rFonts w:ascii="等线" w:eastAsia="等线" w:hAnsi="Times New Roman"/>
          <w:color w:val="000000"/>
        </w:rPr>
      </w:pPr>
      <w:r w:rsidRPr="00CD04B6">
        <w:rPr>
          <w:rFonts w:ascii="等线" w:eastAsia="等线" w:hAnsi="Times New Roman"/>
          <w:color w:val="000000"/>
        </w:rPr>
        <w:t>A Hong Kong-listed Shengmu Organic Milk Ltd. on the US$335 million sale of its shares and advised on acting in concert implications</w:t>
      </w:r>
    </w:p>
    <w:p w14:paraId="3C099307" w14:textId="77777777" w:rsidR="00CD04B6" w:rsidRDefault="00CD04B6" w:rsidP="00CD04B6">
      <w:pPr>
        <w:pStyle w:val="af5"/>
        <w:numPr>
          <w:ilvl w:val="0"/>
          <w:numId w:val="50"/>
        </w:numPr>
        <w:spacing w:before="120"/>
        <w:ind w:left="690" w:hanging="240"/>
        <w:rPr>
          <w:rFonts w:ascii="等线" w:eastAsia="等线" w:hAnsi="Times New Roman"/>
          <w:color w:val="000000"/>
        </w:rPr>
      </w:pPr>
      <w:r w:rsidRPr="00CD04B6">
        <w:rPr>
          <w:rFonts w:ascii="等线" w:eastAsia="等线" w:hAnsi="Times New Roman"/>
          <w:color w:val="000000"/>
        </w:rPr>
        <w:t>Qatar Investment Authority, through wholly owned subsidiary Qatar Holdings LLC, in its acquisition of a 22% stake in CITIC Capital Holdings Limited</w:t>
      </w:r>
    </w:p>
    <w:p w14:paraId="4E4D125D" w14:textId="77777777" w:rsidR="00CD04B6" w:rsidRDefault="00CD04B6" w:rsidP="00CD04B6">
      <w:pPr>
        <w:pStyle w:val="af5"/>
        <w:numPr>
          <w:ilvl w:val="0"/>
          <w:numId w:val="51"/>
        </w:numPr>
        <w:spacing w:before="120"/>
        <w:ind w:left="690" w:hanging="240"/>
        <w:rPr>
          <w:rFonts w:ascii="等线" w:eastAsia="等线" w:hAnsi="Times New Roman"/>
          <w:color w:val="000000"/>
        </w:rPr>
      </w:pPr>
      <w:r w:rsidRPr="00CD04B6">
        <w:rPr>
          <w:rFonts w:ascii="等线" w:eastAsia="等线" w:hAnsi="Times New Roman"/>
          <w:color w:val="000000"/>
        </w:rPr>
        <w:t>Hung Hing Printing Group Limited in its issue of US $110 million worth of new shares to CVC Asia Pacific Limited and advised on the related Hong Kong Takeover Code implications</w:t>
      </w:r>
    </w:p>
    <w:p w14:paraId="476DD89B" w14:textId="77777777" w:rsidR="00CD04B6" w:rsidRDefault="00CD04B6" w:rsidP="00CD04B6">
      <w:pPr>
        <w:pStyle w:val="af5"/>
        <w:numPr>
          <w:ilvl w:val="0"/>
          <w:numId w:val="52"/>
        </w:numPr>
        <w:spacing w:before="120"/>
        <w:ind w:left="690" w:hanging="240"/>
        <w:rPr>
          <w:rFonts w:ascii="等线" w:eastAsia="等线" w:hAnsi="Times New Roman"/>
          <w:color w:val="000000"/>
        </w:rPr>
      </w:pPr>
      <w:r w:rsidRPr="00CD04B6">
        <w:rPr>
          <w:rFonts w:ascii="等线" w:eastAsia="等线" w:hAnsi="Times New Roman"/>
          <w:color w:val="000000"/>
        </w:rPr>
        <w:t>Shanghai Forte Land, a major property development company listed on HKEx, in connection with a HK $2,554 million privatisation offer by Fosun International Limited</w:t>
      </w:r>
    </w:p>
    <w:p w14:paraId="1B651EF1" w14:textId="77777777" w:rsidR="00CD04B6" w:rsidRDefault="00CD04B6" w:rsidP="00CD04B6">
      <w:pPr>
        <w:pStyle w:val="af5"/>
        <w:spacing w:before="120"/>
        <w:rPr>
          <w:rFonts w:ascii="等线" w:eastAsia="等线" w:hAnsi="Times New Roman"/>
          <w:color w:val="000000"/>
        </w:rPr>
      </w:pPr>
      <w:r w:rsidRPr="00CD04B6">
        <w:rPr>
          <w:rFonts w:ascii="等线" w:eastAsia="等线" w:hAnsi="Times New Roman"/>
          <w:color w:val="000000"/>
        </w:rPr>
        <w:t>Regulatory</w:t>
      </w:r>
    </w:p>
    <w:p w14:paraId="31138F48" w14:textId="77777777" w:rsidR="00CD04B6" w:rsidRDefault="00CD04B6" w:rsidP="00CD04B6">
      <w:pPr>
        <w:pStyle w:val="af5"/>
        <w:numPr>
          <w:ilvl w:val="0"/>
          <w:numId w:val="53"/>
        </w:numPr>
        <w:spacing w:before="120"/>
        <w:ind w:left="690" w:hanging="240"/>
        <w:rPr>
          <w:rFonts w:ascii="等线" w:eastAsia="等线" w:hAnsi="Times New Roman"/>
          <w:color w:val="000000"/>
        </w:rPr>
      </w:pPr>
      <w:r w:rsidRPr="00CD04B6">
        <w:rPr>
          <w:rFonts w:ascii="等线" w:eastAsia="等线" w:hAnsi="Times New Roman"/>
          <w:color w:val="000000"/>
        </w:rPr>
        <w:t>Societe Generale (EURONEXT: GLE): advising on the formation of its joint venture with AllianceBernstein (NYSE: AB) involving a new substantial shareholder application to the SFC for Type 1 and Type 4 licenses</w:t>
      </w:r>
    </w:p>
    <w:p w14:paraId="34CAFE98" w14:textId="77777777" w:rsidR="00CD04B6" w:rsidRDefault="00CD04B6" w:rsidP="00CD04B6">
      <w:pPr>
        <w:pStyle w:val="af5"/>
        <w:numPr>
          <w:ilvl w:val="0"/>
          <w:numId w:val="54"/>
        </w:numPr>
        <w:spacing w:before="120"/>
        <w:ind w:left="690" w:hanging="240"/>
        <w:rPr>
          <w:rFonts w:ascii="等线" w:eastAsia="等线" w:hAnsi="Times New Roman"/>
          <w:color w:val="000000"/>
        </w:rPr>
      </w:pPr>
      <w:r w:rsidRPr="00CD04B6">
        <w:rPr>
          <w:rFonts w:ascii="等线" w:eastAsia="等线" w:hAnsi="Times New Roman"/>
          <w:color w:val="000000"/>
        </w:rPr>
        <w:t>Piper Jeffray in its acquisition and continued development of its Hong Kong investment banking arm and related regulatory issues</w:t>
      </w:r>
    </w:p>
    <w:p w14:paraId="2464DAA1" w14:textId="77777777" w:rsidR="00CD04B6" w:rsidRDefault="00CD04B6" w:rsidP="00CD04B6">
      <w:pPr>
        <w:pStyle w:val="af5"/>
        <w:numPr>
          <w:ilvl w:val="0"/>
          <w:numId w:val="55"/>
        </w:numPr>
        <w:spacing w:before="120"/>
        <w:ind w:left="690" w:hanging="240"/>
        <w:rPr>
          <w:rFonts w:ascii="等线" w:eastAsia="等线" w:hAnsi="Times New Roman"/>
          <w:color w:val="000000"/>
        </w:rPr>
      </w:pPr>
      <w:r w:rsidRPr="00CD04B6">
        <w:rPr>
          <w:rFonts w:ascii="等线" w:eastAsia="等线" w:hAnsi="Times New Roman"/>
          <w:color w:val="000000"/>
        </w:rPr>
        <w:t>GE China in obtaining an exemption from Hong Kong Securities and Futures Commission in relation to documents disclosure requirement of privatization of a public company</w:t>
      </w:r>
    </w:p>
    <w:p w14:paraId="09FEB627" w14:textId="77777777" w:rsidR="00CD04B6" w:rsidRDefault="00CD04B6" w:rsidP="00CD04B6">
      <w:pPr>
        <w:pStyle w:val="af5"/>
        <w:spacing w:after="0" w:line="480" w:lineRule="auto"/>
        <w:rPr>
          <w:rFonts w:ascii="等线" w:eastAsia="等线" w:hAnsi="等线"/>
          <w:b/>
          <w:sz w:val="24"/>
        </w:rPr>
      </w:pPr>
      <w:r w:rsidRPr="00CD04B6">
        <w:rPr>
          <w:rFonts w:ascii="等线" w:eastAsia="等线" w:hAnsi="等线"/>
          <w:b/>
          <w:sz w:val="24"/>
        </w:rPr>
        <w:t>Education</w:t>
      </w:r>
    </w:p>
    <w:p w14:paraId="604918FC" w14:textId="77777777" w:rsidR="00CD04B6" w:rsidRDefault="00CD04B6" w:rsidP="00CD04B6">
      <w:pPr>
        <w:pStyle w:val="af5"/>
        <w:numPr>
          <w:ilvl w:val="0"/>
          <w:numId w:val="56"/>
        </w:numPr>
        <w:spacing w:before="120"/>
        <w:ind w:left="690" w:hanging="240"/>
        <w:rPr>
          <w:rFonts w:ascii="等线" w:eastAsia="等线" w:hAnsi="Times New Roman"/>
          <w:color w:val="000000"/>
        </w:rPr>
      </w:pPr>
      <w:r w:rsidRPr="00CD04B6">
        <w:rPr>
          <w:rFonts w:ascii="等线" w:eastAsia="等线" w:hAnsi="Times New Roman"/>
          <w:color w:val="000000"/>
        </w:rPr>
        <w:t>University of Hong Kong, PCLL</w:t>
      </w:r>
    </w:p>
    <w:p w14:paraId="7AFFC8FF" w14:textId="77777777" w:rsidR="00CD04B6" w:rsidRDefault="00CD04B6" w:rsidP="00CD04B6">
      <w:pPr>
        <w:pStyle w:val="af5"/>
        <w:numPr>
          <w:ilvl w:val="0"/>
          <w:numId w:val="57"/>
        </w:numPr>
        <w:spacing w:before="120"/>
        <w:ind w:left="690" w:hanging="240"/>
        <w:rPr>
          <w:rFonts w:ascii="等线" w:eastAsia="等线" w:hAnsi="Times New Roman"/>
          <w:color w:val="000000"/>
        </w:rPr>
      </w:pPr>
      <w:r w:rsidRPr="00CD04B6">
        <w:rPr>
          <w:rFonts w:ascii="等线" w:eastAsia="等线" w:hAnsi="Times New Roman"/>
          <w:color w:val="000000"/>
        </w:rPr>
        <w:t>University of Hong Kong, LL.B.</w:t>
      </w:r>
    </w:p>
    <w:p w14:paraId="60EB4EC6" w14:textId="77777777" w:rsidR="00CD04B6" w:rsidRDefault="00CD04B6" w:rsidP="00CD04B6">
      <w:pPr>
        <w:pStyle w:val="af5"/>
        <w:spacing w:after="0" w:line="480" w:lineRule="auto"/>
        <w:rPr>
          <w:rFonts w:ascii="等线" w:eastAsia="等线" w:hAnsi="等线"/>
          <w:b/>
          <w:sz w:val="24"/>
        </w:rPr>
      </w:pPr>
      <w:r w:rsidRPr="00CD04B6">
        <w:rPr>
          <w:rFonts w:ascii="等线" w:eastAsia="等线" w:hAnsi="等线"/>
          <w:b/>
          <w:sz w:val="24"/>
        </w:rPr>
        <w:t>Professional Qualification</w:t>
      </w:r>
    </w:p>
    <w:p w14:paraId="26BEF88D" w14:textId="77777777" w:rsidR="00CD04B6" w:rsidRDefault="00CD04B6" w:rsidP="00CD04B6">
      <w:pPr>
        <w:pStyle w:val="af5"/>
        <w:numPr>
          <w:ilvl w:val="0"/>
          <w:numId w:val="58"/>
        </w:numPr>
        <w:spacing w:before="120"/>
        <w:ind w:left="690" w:hanging="240"/>
        <w:rPr>
          <w:rFonts w:ascii="等线" w:eastAsia="等线" w:hAnsi="Times New Roman"/>
          <w:color w:val="000000"/>
        </w:rPr>
      </w:pPr>
      <w:r w:rsidRPr="00CD04B6">
        <w:rPr>
          <w:rFonts w:ascii="等线" w:eastAsia="等线" w:hAnsi="Times New Roman"/>
          <w:color w:val="000000"/>
        </w:rPr>
        <w:t>Admitted to practice in Hong Kong SAR (1993)</w:t>
      </w:r>
    </w:p>
    <w:p w14:paraId="0A9115D9" w14:textId="77777777" w:rsidR="00CD04B6" w:rsidRDefault="00CD04B6" w:rsidP="00CD04B6">
      <w:pPr>
        <w:pStyle w:val="af5"/>
        <w:numPr>
          <w:ilvl w:val="0"/>
          <w:numId w:val="59"/>
        </w:numPr>
        <w:spacing w:before="120"/>
        <w:ind w:left="690" w:hanging="240"/>
        <w:rPr>
          <w:rFonts w:ascii="等线" w:eastAsia="等线" w:hAnsi="Times New Roman"/>
          <w:color w:val="000000"/>
        </w:rPr>
      </w:pPr>
      <w:r w:rsidRPr="00CD04B6">
        <w:rPr>
          <w:rFonts w:ascii="等线" w:eastAsia="等线" w:hAnsi="Times New Roman"/>
          <w:color w:val="000000"/>
        </w:rPr>
        <w:t>Admitted to practice in England and Wales (1997)</w:t>
      </w:r>
    </w:p>
    <w:p w14:paraId="74EB5F86" w14:textId="77777777" w:rsidR="00CD04B6" w:rsidRDefault="00CD04B6" w:rsidP="00CD04B6">
      <w:pPr>
        <w:pStyle w:val="af5"/>
        <w:spacing w:after="0" w:line="480" w:lineRule="auto"/>
        <w:rPr>
          <w:rFonts w:ascii="等线" w:eastAsia="等线" w:hAnsi="等线"/>
          <w:b/>
          <w:sz w:val="24"/>
        </w:rPr>
      </w:pPr>
      <w:r w:rsidRPr="00CD04B6">
        <w:rPr>
          <w:rFonts w:ascii="等线" w:eastAsia="等线" w:hAnsi="等线"/>
          <w:b/>
          <w:sz w:val="24"/>
        </w:rPr>
        <w:t>Work Language</w:t>
      </w:r>
    </w:p>
    <w:p w14:paraId="146243A7" w14:textId="77777777" w:rsidR="00CD04B6" w:rsidRDefault="00CD04B6" w:rsidP="00CD04B6">
      <w:pPr>
        <w:pStyle w:val="af5"/>
        <w:numPr>
          <w:ilvl w:val="0"/>
          <w:numId w:val="60"/>
        </w:numPr>
        <w:spacing w:before="120"/>
        <w:ind w:left="690" w:hanging="240"/>
        <w:rPr>
          <w:rFonts w:ascii="等线" w:eastAsia="等线" w:hAnsi="Times New Roman"/>
          <w:color w:val="000000"/>
        </w:rPr>
      </w:pPr>
      <w:r w:rsidRPr="00CD04B6">
        <w:rPr>
          <w:rFonts w:ascii="等线" w:eastAsia="等线" w:hAnsi="Times New Roman"/>
          <w:color w:val="000000"/>
        </w:rPr>
        <w:t>English</w:t>
      </w:r>
    </w:p>
    <w:p w14:paraId="33A7C8B7" w14:textId="77777777" w:rsidR="00CD04B6" w:rsidRDefault="00CD04B6" w:rsidP="00CD04B6">
      <w:pPr>
        <w:pStyle w:val="af5"/>
        <w:numPr>
          <w:ilvl w:val="0"/>
          <w:numId w:val="61"/>
        </w:numPr>
        <w:spacing w:before="120"/>
        <w:ind w:left="690" w:hanging="240"/>
        <w:rPr>
          <w:rFonts w:ascii="等线" w:eastAsia="等线" w:hAnsi="Times New Roman"/>
          <w:color w:val="000000"/>
        </w:rPr>
      </w:pPr>
      <w:r w:rsidRPr="00CD04B6">
        <w:rPr>
          <w:rFonts w:ascii="等线" w:eastAsia="等线" w:hAnsi="Times New Roman"/>
          <w:color w:val="000000"/>
        </w:rPr>
        <w:t>Mandarin Chinese</w:t>
      </w:r>
    </w:p>
    <w:p w14:paraId="5567FC3C" w14:textId="46CBF656" w:rsidR="00686369" w:rsidRPr="00CD04B6" w:rsidRDefault="00CD04B6" w:rsidP="00CD04B6">
      <w:pPr>
        <w:pStyle w:val="af5"/>
        <w:numPr>
          <w:ilvl w:val="0"/>
          <w:numId w:val="62"/>
        </w:numPr>
        <w:spacing w:before="120"/>
        <w:ind w:left="690" w:hanging="240"/>
        <w:rPr>
          <w:rFonts w:ascii="等线" w:eastAsia="等线" w:hAnsi="Times New Roman"/>
          <w:color w:val="000000"/>
        </w:rPr>
      </w:pPr>
      <w:r w:rsidRPr="00CD04B6">
        <w:rPr>
          <w:rFonts w:ascii="等线" w:eastAsia="等线" w:hAnsi="Times New Roman"/>
          <w:color w:val="000000"/>
        </w:rPr>
        <w:t>Cantonese</w:t>
      </w:r>
    </w:p>
    <w:sectPr w:rsidR="00686369" w:rsidRPr="00CD04B6"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5649B"/>
    <w:multiLevelType w:val="singleLevel"/>
    <w:tmpl w:val="A5205DD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2715BF2"/>
    <w:multiLevelType w:val="singleLevel"/>
    <w:tmpl w:val="BCC2CFC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3E9236E"/>
    <w:multiLevelType w:val="singleLevel"/>
    <w:tmpl w:val="171CE03A"/>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5B656FE"/>
    <w:multiLevelType w:val="singleLevel"/>
    <w:tmpl w:val="B84CCDC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6B873F4"/>
    <w:multiLevelType w:val="singleLevel"/>
    <w:tmpl w:val="0C20878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87A51CD"/>
    <w:multiLevelType w:val="singleLevel"/>
    <w:tmpl w:val="BD60962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8A55A83"/>
    <w:multiLevelType w:val="singleLevel"/>
    <w:tmpl w:val="E8C6890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8EB504F"/>
    <w:multiLevelType w:val="singleLevel"/>
    <w:tmpl w:val="173A747C"/>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0A3F5670"/>
    <w:multiLevelType w:val="singleLevel"/>
    <w:tmpl w:val="FA60CDD4"/>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0A4E071A"/>
    <w:multiLevelType w:val="singleLevel"/>
    <w:tmpl w:val="79CE4EE6"/>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0C8B65EA"/>
    <w:multiLevelType w:val="singleLevel"/>
    <w:tmpl w:val="54B86F26"/>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0DE238FA"/>
    <w:multiLevelType w:val="singleLevel"/>
    <w:tmpl w:val="FD5EABB2"/>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0FC81766"/>
    <w:multiLevelType w:val="singleLevel"/>
    <w:tmpl w:val="25548CE8"/>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3030C6A"/>
    <w:multiLevelType w:val="singleLevel"/>
    <w:tmpl w:val="368AAAB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166B415D"/>
    <w:multiLevelType w:val="singleLevel"/>
    <w:tmpl w:val="C0E250C2"/>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18E66D92"/>
    <w:multiLevelType w:val="singleLevel"/>
    <w:tmpl w:val="F578B696"/>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1A167D9B"/>
    <w:multiLevelType w:val="singleLevel"/>
    <w:tmpl w:val="D506076A"/>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1BAC3F0D"/>
    <w:multiLevelType w:val="singleLevel"/>
    <w:tmpl w:val="CD4C7E62"/>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1BDE37F6"/>
    <w:multiLevelType w:val="singleLevel"/>
    <w:tmpl w:val="43265E06"/>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2E148D3"/>
    <w:multiLevelType w:val="singleLevel"/>
    <w:tmpl w:val="F3B65216"/>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3860C88"/>
    <w:multiLevelType w:val="singleLevel"/>
    <w:tmpl w:val="0D62ECC4"/>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2570045E"/>
    <w:multiLevelType w:val="singleLevel"/>
    <w:tmpl w:val="FE0A938E"/>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25C5260A"/>
    <w:multiLevelType w:val="singleLevel"/>
    <w:tmpl w:val="CDD63360"/>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26665291"/>
    <w:multiLevelType w:val="singleLevel"/>
    <w:tmpl w:val="790C2F32"/>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2A192D69"/>
    <w:multiLevelType w:val="singleLevel"/>
    <w:tmpl w:val="179AC8F4"/>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2B784A2B"/>
    <w:multiLevelType w:val="singleLevel"/>
    <w:tmpl w:val="7E58967E"/>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2B8F46EE"/>
    <w:multiLevelType w:val="singleLevel"/>
    <w:tmpl w:val="BF5A7532"/>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2D7636AA"/>
    <w:multiLevelType w:val="singleLevel"/>
    <w:tmpl w:val="9ADC4F48"/>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30D4622E"/>
    <w:multiLevelType w:val="singleLevel"/>
    <w:tmpl w:val="336AF700"/>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31315C79"/>
    <w:multiLevelType w:val="singleLevel"/>
    <w:tmpl w:val="9642E9C6"/>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3221531D"/>
    <w:multiLevelType w:val="singleLevel"/>
    <w:tmpl w:val="38D0E0F6"/>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363433A4"/>
    <w:multiLevelType w:val="singleLevel"/>
    <w:tmpl w:val="F5B6F248"/>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369826E4"/>
    <w:multiLevelType w:val="singleLevel"/>
    <w:tmpl w:val="BC3E0C5A"/>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36C30E6A"/>
    <w:multiLevelType w:val="singleLevel"/>
    <w:tmpl w:val="0A8016FE"/>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37491ABA"/>
    <w:multiLevelType w:val="singleLevel"/>
    <w:tmpl w:val="39840948"/>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378B0F95"/>
    <w:multiLevelType w:val="singleLevel"/>
    <w:tmpl w:val="19FC5FBA"/>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3C1375F2"/>
    <w:multiLevelType w:val="singleLevel"/>
    <w:tmpl w:val="27F66746"/>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3C3217EE"/>
    <w:multiLevelType w:val="singleLevel"/>
    <w:tmpl w:val="979EF89E"/>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412A1B7C"/>
    <w:multiLevelType w:val="singleLevel"/>
    <w:tmpl w:val="94C6F026"/>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437F25CE"/>
    <w:multiLevelType w:val="singleLevel"/>
    <w:tmpl w:val="5FD8405A"/>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469F06F8"/>
    <w:multiLevelType w:val="singleLevel"/>
    <w:tmpl w:val="F6D8805E"/>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4DE03D91"/>
    <w:multiLevelType w:val="singleLevel"/>
    <w:tmpl w:val="A93A9A46"/>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5A123441"/>
    <w:multiLevelType w:val="singleLevel"/>
    <w:tmpl w:val="EB8C017C"/>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5BFD3598"/>
    <w:multiLevelType w:val="singleLevel"/>
    <w:tmpl w:val="8B70E76A"/>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5C2A7865"/>
    <w:multiLevelType w:val="singleLevel"/>
    <w:tmpl w:val="336AF700"/>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5D2A53A0"/>
    <w:multiLevelType w:val="singleLevel"/>
    <w:tmpl w:val="CD9669EA"/>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5F20073B"/>
    <w:multiLevelType w:val="singleLevel"/>
    <w:tmpl w:val="BA1444E2"/>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608B7DB0"/>
    <w:multiLevelType w:val="singleLevel"/>
    <w:tmpl w:val="5120A0EA"/>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631B5645"/>
    <w:multiLevelType w:val="singleLevel"/>
    <w:tmpl w:val="0760647A"/>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64F560FF"/>
    <w:multiLevelType w:val="singleLevel"/>
    <w:tmpl w:val="2A36B06A"/>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658C7DA5"/>
    <w:multiLevelType w:val="singleLevel"/>
    <w:tmpl w:val="C0588FC6"/>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65D01C85"/>
    <w:multiLevelType w:val="singleLevel"/>
    <w:tmpl w:val="9E747A72"/>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67D06628"/>
    <w:multiLevelType w:val="singleLevel"/>
    <w:tmpl w:val="7B1A2C7A"/>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6AB165CE"/>
    <w:multiLevelType w:val="singleLevel"/>
    <w:tmpl w:val="AA2E4A0C"/>
    <w:lvl w:ilvl="0">
      <w:start w:val="1"/>
      <w:numFmt w:val="bullet"/>
      <w:lvlText w:val=""/>
      <w:lvlJc w:val="left"/>
      <w:pPr>
        <w:tabs>
          <w:tab w:val="num" w:pos="200"/>
        </w:tabs>
        <w:ind w:left="200" w:hanging="200"/>
      </w:pPr>
      <w:rPr>
        <w:rFonts w:ascii="Wingdings" w:hAnsi="Wingdings" w:hint="default"/>
        <w:sz w:val="16"/>
      </w:rPr>
    </w:lvl>
  </w:abstractNum>
  <w:abstractNum w:abstractNumId="54" w15:restartNumberingAfterBreak="0">
    <w:nsid w:val="6F097929"/>
    <w:multiLevelType w:val="singleLevel"/>
    <w:tmpl w:val="5A0A9CE2"/>
    <w:lvl w:ilvl="0">
      <w:start w:val="1"/>
      <w:numFmt w:val="bullet"/>
      <w:lvlText w:val=""/>
      <w:lvlJc w:val="left"/>
      <w:pPr>
        <w:tabs>
          <w:tab w:val="num" w:pos="200"/>
        </w:tabs>
        <w:ind w:left="200" w:hanging="200"/>
      </w:pPr>
      <w:rPr>
        <w:rFonts w:ascii="Wingdings" w:hAnsi="Wingdings" w:hint="default"/>
        <w:sz w:val="16"/>
      </w:rPr>
    </w:lvl>
  </w:abstractNum>
  <w:abstractNum w:abstractNumId="55" w15:restartNumberingAfterBreak="0">
    <w:nsid w:val="6FFF5F41"/>
    <w:multiLevelType w:val="singleLevel"/>
    <w:tmpl w:val="3DA2F5C4"/>
    <w:lvl w:ilvl="0">
      <w:start w:val="1"/>
      <w:numFmt w:val="bullet"/>
      <w:lvlText w:val=""/>
      <w:lvlJc w:val="left"/>
      <w:pPr>
        <w:tabs>
          <w:tab w:val="num" w:pos="200"/>
        </w:tabs>
        <w:ind w:left="200" w:hanging="200"/>
      </w:pPr>
      <w:rPr>
        <w:rFonts w:ascii="Wingdings" w:hAnsi="Wingdings" w:hint="default"/>
        <w:sz w:val="16"/>
      </w:rPr>
    </w:lvl>
  </w:abstractNum>
  <w:abstractNum w:abstractNumId="56" w15:restartNumberingAfterBreak="0">
    <w:nsid w:val="70F24DD0"/>
    <w:multiLevelType w:val="singleLevel"/>
    <w:tmpl w:val="0D745B6E"/>
    <w:lvl w:ilvl="0">
      <w:start w:val="1"/>
      <w:numFmt w:val="bullet"/>
      <w:lvlText w:val=""/>
      <w:lvlJc w:val="left"/>
      <w:pPr>
        <w:tabs>
          <w:tab w:val="num" w:pos="200"/>
        </w:tabs>
        <w:ind w:left="200" w:hanging="200"/>
      </w:pPr>
      <w:rPr>
        <w:rFonts w:ascii="Wingdings" w:hAnsi="Wingdings" w:hint="default"/>
        <w:sz w:val="16"/>
      </w:rPr>
    </w:lvl>
  </w:abstractNum>
  <w:abstractNum w:abstractNumId="57" w15:restartNumberingAfterBreak="0">
    <w:nsid w:val="74F81C7D"/>
    <w:multiLevelType w:val="singleLevel"/>
    <w:tmpl w:val="F0AED460"/>
    <w:lvl w:ilvl="0">
      <w:start w:val="1"/>
      <w:numFmt w:val="bullet"/>
      <w:lvlText w:val=""/>
      <w:lvlJc w:val="left"/>
      <w:pPr>
        <w:tabs>
          <w:tab w:val="num" w:pos="200"/>
        </w:tabs>
        <w:ind w:left="200" w:hanging="200"/>
      </w:pPr>
      <w:rPr>
        <w:rFonts w:ascii="Wingdings" w:hAnsi="Wingdings" w:hint="default"/>
        <w:sz w:val="16"/>
      </w:rPr>
    </w:lvl>
  </w:abstractNum>
  <w:abstractNum w:abstractNumId="58" w15:restartNumberingAfterBreak="0">
    <w:nsid w:val="77350E02"/>
    <w:multiLevelType w:val="singleLevel"/>
    <w:tmpl w:val="E8907A84"/>
    <w:lvl w:ilvl="0">
      <w:start w:val="1"/>
      <w:numFmt w:val="bullet"/>
      <w:lvlText w:val=""/>
      <w:lvlJc w:val="left"/>
      <w:pPr>
        <w:tabs>
          <w:tab w:val="num" w:pos="200"/>
        </w:tabs>
        <w:ind w:left="200" w:hanging="200"/>
      </w:pPr>
      <w:rPr>
        <w:rFonts w:ascii="Wingdings" w:hAnsi="Wingdings" w:hint="default"/>
        <w:sz w:val="16"/>
      </w:rPr>
    </w:lvl>
  </w:abstractNum>
  <w:abstractNum w:abstractNumId="59" w15:restartNumberingAfterBreak="0">
    <w:nsid w:val="79D247B6"/>
    <w:multiLevelType w:val="singleLevel"/>
    <w:tmpl w:val="8F507A9A"/>
    <w:lvl w:ilvl="0">
      <w:start w:val="1"/>
      <w:numFmt w:val="bullet"/>
      <w:lvlText w:val=""/>
      <w:lvlJc w:val="left"/>
      <w:pPr>
        <w:tabs>
          <w:tab w:val="num" w:pos="200"/>
        </w:tabs>
        <w:ind w:left="200" w:hanging="200"/>
      </w:pPr>
      <w:rPr>
        <w:rFonts w:ascii="Wingdings" w:hAnsi="Wingdings" w:hint="default"/>
        <w:sz w:val="16"/>
      </w:rPr>
    </w:lvl>
  </w:abstractNum>
  <w:abstractNum w:abstractNumId="60" w15:restartNumberingAfterBreak="0">
    <w:nsid w:val="7A0B3D94"/>
    <w:multiLevelType w:val="singleLevel"/>
    <w:tmpl w:val="DF2EA4BA"/>
    <w:lvl w:ilvl="0">
      <w:start w:val="1"/>
      <w:numFmt w:val="bullet"/>
      <w:lvlText w:val=""/>
      <w:lvlJc w:val="left"/>
      <w:pPr>
        <w:tabs>
          <w:tab w:val="num" w:pos="200"/>
        </w:tabs>
        <w:ind w:left="200" w:hanging="200"/>
      </w:pPr>
      <w:rPr>
        <w:rFonts w:ascii="Wingdings" w:hAnsi="Wingdings" w:hint="default"/>
        <w:sz w:val="16"/>
      </w:rPr>
    </w:lvl>
  </w:abstractNum>
  <w:abstractNum w:abstractNumId="61" w15:restartNumberingAfterBreak="0">
    <w:nsid w:val="7D062FF7"/>
    <w:multiLevelType w:val="singleLevel"/>
    <w:tmpl w:val="F47CC972"/>
    <w:lvl w:ilvl="0">
      <w:start w:val="1"/>
      <w:numFmt w:val="bullet"/>
      <w:lvlText w:val=""/>
      <w:lvlJc w:val="left"/>
      <w:pPr>
        <w:tabs>
          <w:tab w:val="num" w:pos="200"/>
        </w:tabs>
        <w:ind w:left="200" w:hanging="200"/>
      </w:pPr>
      <w:rPr>
        <w:rFonts w:ascii="Wingdings" w:hAnsi="Wingdings" w:hint="default"/>
        <w:sz w:val="16"/>
      </w:rPr>
    </w:lvl>
  </w:abstractNum>
  <w:num w:numId="1">
    <w:abstractNumId w:val="7"/>
  </w:num>
  <w:num w:numId="2">
    <w:abstractNumId w:val="23"/>
  </w:num>
  <w:num w:numId="3">
    <w:abstractNumId w:val="2"/>
  </w:num>
  <w:num w:numId="4">
    <w:abstractNumId w:val="46"/>
  </w:num>
  <w:num w:numId="5">
    <w:abstractNumId w:val="8"/>
  </w:num>
  <w:num w:numId="6">
    <w:abstractNumId w:val="58"/>
  </w:num>
  <w:num w:numId="7">
    <w:abstractNumId w:val="40"/>
  </w:num>
  <w:num w:numId="8">
    <w:abstractNumId w:val="9"/>
  </w:num>
  <w:num w:numId="9">
    <w:abstractNumId w:val="29"/>
  </w:num>
  <w:num w:numId="10">
    <w:abstractNumId w:val="6"/>
  </w:num>
  <w:num w:numId="11">
    <w:abstractNumId w:val="54"/>
  </w:num>
  <w:num w:numId="12">
    <w:abstractNumId w:val="1"/>
  </w:num>
  <w:num w:numId="13">
    <w:abstractNumId w:val="24"/>
  </w:num>
  <w:num w:numId="14">
    <w:abstractNumId w:val="48"/>
  </w:num>
  <w:num w:numId="15">
    <w:abstractNumId w:val="12"/>
  </w:num>
  <w:num w:numId="16">
    <w:abstractNumId w:val="19"/>
  </w:num>
  <w:num w:numId="17">
    <w:abstractNumId w:val="39"/>
  </w:num>
  <w:num w:numId="18">
    <w:abstractNumId w:val="18"/>
  </w:num>
  <w:num w:numId="19">
    <w:abstractNumId w:val="35"/>
  </w:num>
  <w:num w:numId="20">
    <w:abstractNumId w:val="51"/>
  </w:num>
  <w:num w:numId="21">
    <w:abstractNumId w:val="53"/>
  </w:num>
  <w:num w:numId="22">
    <w:abstractNumId w:val="10"/>
  </w:num>
  <w:num w:numId="23">
    <w:abstractNumId w:val="37"/>
  </w:num>
  <w:num w:numId="24">
    <w:abstractNumId w:val="33"/>
  </w:num>
  <w:num w:numId="25">
    <w:abstractNumId w:val="34"/>
  </w:num>
  <w:num w:numId="26">
    <w:abstractNumId w:val="36"/>
  </w:num>
  <w:num w:numId="27">
    <w:abstractNumId w:val="21"/>
  </w:num>
  <w:num w:numId="28">
    <w:abstractNumId w:val="22"/>
  </w:num>
  <w:num w:numId="29">
    <w:abstractNumId w:val="25"/>
  </w:num>
  <w:num w:numId="30">
    <w:abstractNumId w:val="57"/>
  </w:num>
  <w:num w:numId="31">
    <w:abstractNumId w:val="61"/>
  </w:num>
  <w:num w:numId="32">
    <w:abstractNumId w:val="50"/>
  </w:num>
  <w:num w:numId="33">
    <w:abstractNumId w:val="4"/>
  </w:num>
  <w:num w:numId="34">
    <w:abstractNumId w:val="20"/>
  </w:num>
  <w:num w:numId="35">
    <w:abstractNumId w:val="47"/>
  </w:num>
  <w:num w:numId="36">
    <w:abstractNumId w:val="45"/>
  </w:num>
  <w:num w:numId="37">
    <w:abstractNumId w:val="42"/>
  </w:num>
  <w:num w:numId="38">
    <w:abstractNumId w:val="14"/>
  </w:num>
  <w:num w:numId="39">
    <w:abstractNumId w:val="38"/>
  </w:num>
  <w:num w:numId="40">
    <w:abstractNumId w:val="41"/>
  </w:num>
  <w:num w:numId="41">
    <w:abstractNumId w:val="11"/>
  </w:num>
  <w:num w:numId="42">
    <w:abstractNumId w:val="32"/>
  </w:num>
  <w:num w:numId="43">
    <w:abstractNumId w:val="16"/>
  </w:num>
  <w:num w:numId="44">
    <w:abstractNumId w:val="56"/>
  </w:num>
  <w:num w:numId="45">
    <w:abstractNumId w:val="59"/>
  </w:num>
  <w:num w:numId="46">
    <w:abstractNumId w:val="55"/>
  </w:num>
  <w:num w:numId="47">
    <w:abstractNumId w:val="3"/>
  </w:num>
  <w:num w:numId="48">
    <w:abstractNumId w:val="15"/>
  </w:num>
  <w:num w:numId="49">
    <w:abstractNumId w:val="17"/>
  </w:num>
  <w:num w:numId="50">
    <w:abstractNumId w:val="5"/>
  </w:num>
  <w:num w:numId="51">
    <w:abstractNumId w:val="52"/>
  </w:num>
  <w:num w:numId="52">
    <w:abstractNumId w:val="43"/>
  </w:num>
  <w:num w:numId="53">
    <w:abstractNumId w:val="30"/>
  </w:num>
  <w:num w:numId="54">
    <w:abstractNumId w:val="49"/>
  </w:num>
  <w:num w:numId="55">
    <w:abstractNumId w:val="26"/>
  </w:num>
  <w:num w:numId="56">
    <w:abstractNumId w:val="31"/>
  </w:num>
  <w:num w:numId="57">
    <w:abstractNumId w:val="27"/>
  </w:num>
  <w:num w:numId="58">
    <w:abstractNumId w:val="60"/>
  </w:num>
  <w:num w:numId="59">
    <w:abstractNumId w:val="0"/>
  </w:num>
  <w:num w:numId="60">
    <w:abstractNumId w:val="13"/>
  </w:num>
  <w:num w:numId="61">
    <w:abstractNumId w:val="44"/>
  </w:num>
  <w:num w:numId="62">
    <w:abstractNumId w:val="28"/>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D04B6"/>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CD04B6"/>
    <w:pPr>
      <w:spacing w:after="120"/>
    </w:pPr>
  </w:style>
  <w:style w:type="character" w:customStyle="1" w:styleId="af6">
    <w:name w:val="正文文本 字符"/>
    <w:basedOn w:val="a0"/>
    <w:link w:val="af5"/>
    <w:uiPriority w:val="99"/>
    <w:rsid w:val="00CD04B6"/>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58119C-D720-44AF-B6FE-19F5DF7C51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2078</Words>
  <Characters>11846</Characters>
  <Application>Microsoft Office Word</Application>
  <DocSecurity>0</DocSecurity>
  <Lines>98</Lines>
  <Paragraphs>27</Paragraphs>
  <ScaleCrop>false</ScaleCrop>
  <Company/>
  <LinksUpToDate>false</LinksUpToDate>
  <CharactersWithSpaces>13897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2026-06-03T02:04:00Z</dcterms:created>
  <dcterms:modified xsi:type="dcterms:W3CDTF">2026-06-03T02:04:00Z</dcterms:modified>
</cp:coreProperties>
</file>