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1D1D2D" w:rsidR="0049405C" w:rsidRPr="00C24D79" w:rsidRDefault="00165804" w:rsidP="0016580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65804">
              <w:rPr>
                <w:rFonts w:ascii="等线" w:eastAsia="等线" w:hAnsi="Times New Roman"/>
                <w:b/>
                <w:color w:val="000000"/>
                <w:sz w:val="48"/>
              </w:rPr>
              <w:t>CLAUDIA YUN</w:t>
            </w:r>
            <w:bookmarkEnd w:id="0"/>
          </w:p>
          <w:p w14:paraId="706EB16B" w14:textId="39F5223D" w:rsidR="0049405C" w:rsidRPr="00C24D79" w:rsidRDefault="00165804" w:rsidP="0016580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6580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6580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65804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0C2F3E4D" w:rsidR="0049405C" w:rsidRPr="00C24D79" w:rsidRDefault="00165804" w:rsidP="0016580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65804">
              <w:rPr>
                <w:rFonts w:ascii="等线" w:eastAsia="等线" w:hAnsi="Times New Roman"/>
                <w:color w:val="000000"/>
              </w:rPr>
              <w:t xml:space="preserve">+86 755 8519 3905 </w:t>
            </w:r>
            <w:bookmarkEnd w:id="3"/>
          </w:p>
          <w:p w14:paraId="4F910ACA" w14:textId="0B75D609" w:rsidR="0049405C" w:rsidRPr="00C24D79" w:rsidRDefault="00165804" w:rsidP="0016580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65804">
              <w:rPr>
                <w:rFonts w:ascii="等线" w:eastAsia="等线" w:hAnsi="Times New Roman"/>
                <w:color w:val="000000"/>
              </w:rPr>
              <w:t>cyun@fangdalaw.com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E29722" w:rsidR="0049405C" w:rsidRPr="00C24D79" w:rsidRDefault="0016580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CCC819" wp14:editId="06CA21C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A0C460" w:rsidR="009465FB" w:rsidRPr="00C24D79" w:rsidRDefault="0016580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65804">
              <w:rPr>
                <w:rFonts w:ascii="等线" w:eastAsia="等线" w:hAnsi="Times New Roman"/>
                <w:color w:val="000000"/>
                <w:szCs w:val="21"/>
              </w:rPr>
              <w:t>MS. YUN SPECIALIZES IN INTELLECTUAL PROPERTY, INCLUDING TRANSACTIONS, LITIGATION AND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5AE7C6B" w14:textId="77777777" w:rsidR="0016580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E46CCB" w14:textId="77777777" w:rsidR="00165804" w:rsidRDefault="00165804" w:rsidP="001658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5804">
        <w:rPr>
          <w:rFonts w:ascii="等线" w:eastAsia="等线" w:hAnsi="等线"/>
          <w:b/>
          <w:sz w:val="24"/>
        </w:rPr>
        <w:t>REPRESENTATIVE MATTERS AND CASES</w:t>
      </w:r>
    </w:p>
    <w:p w14:paraId="7172ADC0" w14:textId="77777777" w:rsidR="00165804" w:rsidRDefault="00165804" w:rsidP="001658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Intellectual property litigation</w:t>
      </w:r>
    </w:p>
    <w:p w14:paraId="1590AFBA" w14:textId="77777777" w:rsidR="00165804" w:rsidRDefault="00165804" w:rsidP="0016580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InterDigital in FRAND-related and anti-monopoly civil litigation against Huawei</w:t>
      </w:r>
    </w:p>
    <w:p w14:paraId="55467A7E" w14:textId="77777777" w:rsidR="00165804" w:rsidRDefault="00165804" w:rsidP="0016580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Mindray in an unfair competition litigation concerning bad faith litigation</w:t>
      </w:r>
    </w:p>
    <w:p w14:paraId="474DFDF3" w14:textId="77777777" w:rsidR="00165804" w:rsidRDefault="00165804" w:rsidP="0016580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an electronic product accessory manufacturer in a patent license agreement litigation and in a series of non-infringement litigation</w:t>
      </w:r>
    </w:p>
    <w:p w14:paraId="788D14F6" w14:textId="77777777" w:rsidR="00165804" w:rsidRDefault="00165804" w:rsidP="0016580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Apple in its PRC intellectual property rights protection matters</w:t>
      </w:r>
    </w:p>
    <w:p w14:paraId="1E7A1560" w14:textId="77777777" w:rsidR="00165804" w:rsidRDefault="00165804" w:rsidP="0016580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AXIS in an unfair competition litigation</w:t>
      </w:r>
    </w:p>
    <w:p w14:paraId="50AAA325" w14:textId="77777777" w:rsidR="00165804" w:rsidRDefault="00165804" w:rsidP="0016580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VF Group in its PRC intellectual property protection matters</w:t>
      </w:r>
    </w:p>
    <w:p w14:paraId="7D25136F" w14:textId="77777777" w:rsidR="00165804" w:rsidRDefault="00165804" w:rsidP="0016580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Bridgestone in various intellectual property litigation</w:t>
      </w:r>
    </w:p>
    <w:p w14:paraId="4C483233" w14:textId="77777777" w:rsidR="00165804" w:rsidRDefault="00165804" w:rsidP="0016580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EIC in trademark infringement and unfair competition litigation</w:t>
      </w:r>
    </w:p>
    <w:p w14:paraId="6430F6AB" w14:textId="77777777" w:rsidR="00165804" w:rsidRDefault="00165804" w:rsidP="0016580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TCL in various intellectual property and commercial litigation</w:t>
      </w:r>
    </w:p>
    <w:p w14:paraId="7F997DB9" w14:textId="77777777" w:rsidR="00165804" w:rsidRDefault="00165804" w:rsidP="0016580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Deloitte in trademark protection and anti-unfair competition matters</w:t>
      </w:r>
    </w:p>
    <w:p w14:paraId="2375B8CD" w14:textId="77777777" w:rsidR="00165804" w:rsidRDefault="00165804" w:rsidP="0016580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Advised Pepsi in trademark protection and anti-unfair competition matters</w:t>
      </w:r>
    </w:p>
    <w:p w14:paraId="5288CD26" w14:textId="77777777" w:rsidR="00165804" w:rsidRDefault="00165804" w:rsidP="0016580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Dyson in patent infringement cases</w:t>
      </w:r>
    </w:p>
    <w:p w14:paraId="13228781" w14:textId="77777777" w:rsidR="00165804" w:rsidRDefault="00165804" w:rsidP="0016580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Clantex in a patent infringement litigation</w:t>
      </w:r>
    </w:p>
    <w:p w14:paraId="0DD9F98A" w14:textId="77777777" w:rsidR="00165804" w:rsidRDefault="00165804" w:rsidP="0016580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Sara Lee in civil litigation concerning trademark, trade dress and design protection on its car perfume products</w:t>
      </w:r>
    </w:p>
    <w:p w14:paraId="3C375927" w14:textId="77777777" w:rsidR="00165804" w:rsidRDefault="00165804" w:rsidP="0016580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Sony Computer Entertainment Inc. in trademark and patent infringement litigation</w:t>
      </w:r>
    </w:p>
    <w:p w14:paraId="45CF9E15" w14:textId="77777777" w:rsidR="00165804" w:rsidRDefault="00165804" w:rsidP="0016580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Beats in intellectual property protection matters</w:t>
      </w:r>
    </w:p>
    <w:p w14:paraId="3A467ADA" w14:textId="77777777" w:rsidR="00165804" w:rsidRDefault="00165804" w:rsidP="0016580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NOKIA in intellectual property protection matters</w:t>
      </w:r>
    </w:p>
    <w:p w14:paraId="293AAFA9" w14:textId="77777777" w:rsidR="00165804" w:rsidRDefault="00165804" w:rsidP="0016580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Bandai Co., Ltd. in intellectual property protection matters</w:t>
      </w:r>
    </w:p>
    <w:p w14:paraId="033B6784" w14:textId="77777777" w:rsidR="00165804" w:rsidRDefault="00165804" w:rsidP="001658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Intellectual property transactions</w:t>
      </w:r>
    </w:p>
    <w:p w14:paraId="595244E4" w14:textId="77777777" w:rsidR="00165804" w:rsidRDefault="00165804" w:rsidP="0016580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Alibaba Group in its listing and transactions</w:t>
      </w:r>
    </w:p>
    <w:p w14:paraId="70493950" w14:textId="77777777" w:rsidR="00165804" w:rsidRDefault="00165804" w:rsidP="0016580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HKSFC in a due diligence check on an entertainment company</w:t>
      </w:r>
    </w:p>
    <w:p w14:paraId="70DA0026" w14:textId="77777777" w:rsidR="00165804" w:rsidRDefault="00165804" w:rsidP="0016580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Ant Finance in various M&amp;A projects</w:t>
      </w:r>
    </w:p>
    <w:p w14:paraId="55D5E514" w14:textId="77777777" w:rsidR="00165804" w:rsidRDefault="00165804" w:rsidP="0016580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Cainiao in an intellectual property transaction</w:t>
      </w:r>
    </w:p>
    <w:p w14:paraId="4EFBC44E" w14:textId="77777777" w:rsidR="00165804" w:rsidRDefault="00165804" w:rsidP="0016580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Wuxi AppTec in an intellectual property transaction</w:t>
      </w:r>
    </w:p>
    <w:p w14:paraId="422E9085" w14:textId="77777777" w:rsidR="00165804" w:rsidRDefault="00165804" w:rsidP="0016580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Cellular Biomedical Group in intellectual property due diligence projects</w:t>
      </w:r>
    </w:p>
    <w:p w14:paraId="4E73528B" w14:textId="77777777" w:rsidR="00165804" w:rsidRDefault="00165804" w:rsidP="0016580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Cargotec in intellectual property transactions in its joint venture projects</w:t>
      </w:r>
    </w:p>
    <w:p w14:paraId="7CE7F750" w14:textId="77777777" w:rsidR="00165804" w:rsidRDefault="00165804" w:rsidP="0016580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Shanghai Electrics in its acquisition of Ansaldo</w:t>
      </w:r>
    </w:p>
    <w:p w14:paraId="64FF0812" w14:textId="77777777" w:rsidR="00165804" w:rsidRDefault="00165804" w:rsidP="0016580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GE Avio in an intellectual property transaction in a joint venture project</w:t>
      </w:r>
    </w:p>
    <w:p w14:paraId="600B9034" w14:textId="77777777" w:rsidR="00165804" w:rsidRDefault="00165804" w:rsidP="0016580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Philips in an intellectual property transaction in a joint venture project</w:t>
      </w:r>
    </w:p>
    <w:p w14:paraId="23678AAF" w14:textId="77777777" w:rsidR="00165804" w:rsidRDefault="00165804" w:rsidP="0016580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Rockwell in an intellectual property transaction in an M&amp;A project</w:t>
      </w:r>
    </w:p>
    <w:p w14:paraId="5DB9C43F" w14:textId="77777777" w:rsidR="00165804" w:rsidRDefault="00165804" w:rsidP="001658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Dispute Resolution</w:t>
      </w:r>
    </w:p>
    <w:p w14:paraId="4C47BE29" w14:textId="77777777" w:rsidR="00165804" w:rsidRDefault="00165804" w:rsidP="0016580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Naibu Hong Kong in litigation over control of its PRC subsidiary</w:t>
      </w:r>
    </w:p>
    <w:p w14:paraId="000FE0A3" w14:textId="77777777" w:rsidR="00165804" w:rsidRDefault="00165804" w:rsidP="0016580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Sybase in a litigation over a software contract dispute</w:t>
      </w:r>
    </w:p>
    <w:p w14:paraId="100682B9" w14:textId="77777777" w:rsidR="00165804" w:rsidRDefault="00165804" w:rsidP="0016580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Represented TRANE in a litigation over a service contract dispute</w:t>
      </w:r>
    </w:p>
    <w:p w14:paraId="471BBC11" w14:textId="77777777" w:rsidR="00165804" w:rsidRDefault="00165804" w:rsidP="001658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5804">
        <w:rPr>
          <w:rFonts w:ascii="等线" w:eastAsia="等线" w:hAnsi="等线"/>
          <w:b/>
          <w:sz w:val="24"/>
        </w:rPr>
        <w:t>Education</w:t>
      </w:r>
    </w:p>
    <w:p w14:paraId="722CC670" w14:textId="77777777" w:rsidR="00165804" w:rsidRDefault="00165804" w:rsidP="0016580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University of Bristol, LL.M.</w:t>
      </w:r>
    </w:p>
    <w:p w14:paraId="31D0A8BD" w14:textId="77777777" w:rsidR="00165804" w:rsidRDefault="00165804" w:rsidP="0016580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China University of Political Science and Law, LL.B.</w:t>
      </w:r>
    </w:p>
    <w:p w14:paraId="5AC5E605" w14:textId="77777777" w:rsidR="00165804" w:rsidRDefault="00165804" w:rsidP="001658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5804">
        <w:rPr>
          <w:rFonts w:ascii="等线" w:eastAsia="等线" w:hAnsi="等线"/>
          <w:b/>
          <w:sz w:val="24"/>
        </w:rPr>
        <w:t>Professional Qualification</w:t>
      </w:r>
    </w:p>
    <w:p w14:paraId="422BDA44" w14:textId="77777777" w:rsidR="00165804" w:rsidRDefault="00165804" w:rsidP="0016580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Admitted to practice in the PRC</w:t>
      </w:r>
    </w:p>
    <w:p w14:paraId="1719E4BF" w14:textId="77777777" w:rsidR="00165804" w:rsidRDefault="00165804" w:rsidP="001658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5804">
        <w:rPr>
          <w:rFonts w:ascii="等线" w:eastAsia="等线" w:hAnsi="等线"/>
          <w:b/>
          <w:sz w:val="24"/>
        </w:rPr>
        <w:t>Professional Background</w:t>
      </w:r>
    </w:p>
    <w:p w14:paraId="5567FC3C" w14:textId="57692045" w:rsidR="00686369" w:rsidRPr="00165804" w:rsidRDefault="00165804" w:rsidP="0016580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5804">
        <w:rPr>
          <w:rFonts w:ascii="等线" w:eastAsia="等线" w:hAnsi="Times New Roman"/>
          <w:color w:val="000000"/>
        </w:rPr>
        <w:t>Ms. Yun joined Fangda Partners, Shenzhen Office in 2004.</w:t>
      </w:r>
    </w:p>
    <w:sectPr w:rsidR="00686369" w:rsidRPr="0016580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52E"/>
    <w:multiLevelType w:val="singleLevel"/>
    <w:tmpl w:val="36F47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80758A"/>
    <w:multiLevelType w:val="singleLevel"/>
    <w:tmpl w:val="CF326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690556"/>
    <w:multiLevelType w:val="singleLevel"/>
    <w:tmpl w:val="7F989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AB68CA"/>
    <w:multiLevelType w:val="singleLevel"/>
    <w:tmpl w:val="32846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AF51B9"/>
    <w:multiLevelType w:val="singleLevel"/>
    <w:tmpl w:val="2EB414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EF3742"/>
    <w:multiLevelType w:val="singleLevel"/>
    <w:tmpl w:val="8A02F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1F32DA"/>
    <w:multiLevelType w:val="singleLevel"/>
    <w:tmpl w:val="C29EC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F4447F"/>
    <w:multiLevelType w:val="singleLevel"/>
    <w:tmpl w:val="9B3252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20389F"/>
    <w:multiLevelType w:val="singleLevel"/>
    <w:tmpl w:val="119836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B66F42"/>
    <w:multiLevelType w:val="singleLevel"/>
    <w:tmpl w:val="D2606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C64DF0"/>
    <w:multiLevelType w:val="singleLevel"/>
    <w:tmpl w:val="E8C8C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2693046"/>
    <w:multiLevelType w:val="singleLevel"/>
    <w:tmpl w:val="935A4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C077BC"/>
    <w:multiLevelType w:val="singleLevel"/>
    <w:tmpl w:val="F314C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FB30A00"/>
    <w:multiLevelType w:val="singleLevel"/>
    <w:tmpl w:val="ED88F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A247E2"/>
    <w:multiLevelType w:val="singleLevel"/>
    <w:tmpl w:val="62D87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0C75F0C"/>
    <w:multiLevelType w:val="singleLevel"/>
    <w:tmpl w:val="FBFA7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11B5E66"/>
    <w:multiLevelType w:val="singleLevel"/>
    <w:tmpl w:val="BA7A6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B476BD"/>
    <w:multiLevelType w:val="singleLevel"/>
    <w:tmpl w:val="9AC06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809377A"/>
    <w:multiLevelType w:val="singleLevel"/>
    <w:tmpl w:val="7B68B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EF76DE"/>
    <w:multiLevelType w:val="singleLevel"/>
    <w:tmpl w:val="0EDA0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0AA57A5"/>
    <w:multiLevelType w:val="singleLevel"/>
    <w:tmpl w:val="E95E7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25F5C62"/>
    <w:multiLevelType w:val="singleLevel"/>
    <w:tmpl w:val="8D5EE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58D4566"/>
    <w:multiLevelType w:val="singleLevel"/>
    <w:tmpl w:val="C2466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7A17FE4"/>
    <w:multiLevelType w:val="singleLevel"/>
    <w:tmpl w:val="85D013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88C4D5B"/>
    <w:multiLevelType w:val="singleLevel"/>
    <w:tmpl w:val="71960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D054A4A"/>
    <w:multiLevelType w:val="singleLevel"/>
    <w:tmpl w:val="276825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D08445C"/>
    <w:multiLevelType w:val="singleLevel"/>
    <w:tmpl w:val="9F3A0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DC2229D"/>
    <w:multiLevelType w:val="singleLevel"/>
    <w:tmpl w:val="01A20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4113113"/>
    <w:multiLevelType w:val="singleLevel"/>
    <w:tmpl w:val="94506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47951AE"/>
    <w:multiLevelType w:val="singleLevel"/>
    <w:tmpl w:val="DD8E2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83B6F43"/>
    <w:multiLevelType w:val="singleLevel"/>
    <w:tmpl w:val="EE0C0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8206A8"/>
    <w:multiLevelType w:val="singleLevel"/>
    <w:tmpl w:val="EE0C0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8C45735"/>
    <w:multiLevelType w:val="singleLevel"/>
    <w:tmpl w:val="10260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9214C02"/>
    <w:multiLevelType w:val="singleLevel"/>
    <w:tmpl w:val="BA7A7C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B0A01E9"/>
    <w:multiLevelType w:val="singleLevel"/>
    <w:tmpl w:val="7054E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DFC7903"/>
    <w:multiLevelType w:val="singleLevel"/>
    <w:tmpl w:val="4DC4F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FC86CBB"/>
    <w:multiLevelType w:val="singleLevel"/>
    <w:tmpl w:val="3ED85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35"/>
  </w:num>
  <w:num w:numId="4">
    <w:abstractNumId w:val="28"/>
  </w:num>
  <w:num w:numId="5">
    <w:abstractNumId w:val="16"/>
  </w:num>
  <w:num w:numId="6">
    <w:abstractNumId w:val="38"/>
  </w:num>
  <w:num w:numId="7">
    <w:abstractNumId w:val="0"/>
  </w:num>
  <w:num w:numId="8">
    <w:abstractNumId w:val="36"/>
  </w:num>
  <w:num w:numId="9">
    <w:abstractNumId w:val="4"/>
  </w:num>
  <w:num w:numId="10">
    <w:abstractNumId w:val="37"/>
  </w:num>
  <w:num w:numId="11">
    <w:abstractNumId w:val="17"/>
  </w:num>
  <w:num w:numId="12">
    <w:abstractNumId w:val="34"/>
  </w:num>
  <w:num w:numId="13">
    <w:abstractNumId w:val="5"/>
  </w:num>
  <w:num w:numId="14">
    <w:abstractNumId w:val="13"/>
  </w:num>
  <w:num w:numId="15">
    <w:abstractNumId w:val="11"/>
  </w:num>
  <w:num w:numId="16">
    <w:abstractNumId w:val="22"/>
  </w:num>
  <w:num w:numId="17">
    <w:abstractNumId w:val="29"/>
  </w:num>
  <w:num w:numId="18">
    <w:abstractNumId w:val="25"/>
  </w:num>
  <w:num w:numId="19">
    <w:abstractNumId w:val="30"/>
  </w:num>
  <w:num w:numId="20">
    <w:abstractNumId w:val="8"/>
  </w:num>
  <w:num w:numId="21">
    <w:abstractNumId w:val="21"/>
  </w:num>
  <w:num w:numId="22">
    <w:abstractNumId w:val="27"/>
  </w:num>
  <w:num w:numId="23">
    <w:abstractNumId w:val="9"/>
  </w:num>
  <w:num w:numId="24">
    <w:abstractNumId w:val="2"/>
  </w:num>
  <w:num w:numId="25">
    <w:abstractNumId w:val="15"/>
  </w:num>
  <w:num w:numId="26">
    <w:abstractNumId w:val="26"/>
  </w:num>
  <w:num w:numId="27">
    <w:abstractNumId w:val="3"/>
  </w:num>
  <w:num w:numId="28">
    <w:abstractNumId w:val="6"/>
  </w:num>
  <w:num w:numId="29">
    <w:abstractNumId w:val="23"/>
  </w:num>
  <w:num w:numId="30">
    <w:abstractNumId w:val="7"/>
  </w:num>
  <w:num w:numId="31">
    <w:abstractNumId w:val="1"/>
  </w:num>
  <w:num w:numId="32">
    <w:abstractNumId w:val="20"/>
  </w:num>
  <w:num w:numId="33">
    <w:abstractNumId w:val="24"/>
  </w:num>
  <w:num w:numId="34">
    <w:abstractNumId w:val="18"/>
  </w:num>
  <w:num w:numId="35">
    <w:abstractNumId w:val="19"/>
  </w:num>
  <w:num w:numId="36">
    <w:abstractNumId w:val="12"/>
  </w:num>
  <w:num w:numId="37">
    <w:abstractNumId w:val="31"/>
  </w:num>
  <w:num w:numId="38">
    <w:abstractNumId w:val="32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65804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580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580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6BDA4A-F72B-413F-945E-34D32A795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2026-06-03T02:47:00Z</dcterms:created>
  <dcterms:modified xsi:type="dcterms:W3CDTF">2026-06-03T02:47:00Z</dcterms:modified>
</cp:coreProperties>
</file>