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E99DD0C" w:rsidR="0049405C" w:rsidRPr="00C24D79" w:rsidRDefault="0033575F" w:rsidP="0033575F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33575F">
              <w:rPr>
                <w:rFonts w:ascii="等线" w:eastAsia="等线" w:hAnsi="Times New Roman"/>
                <w:b/>
                <w:color w:val="000000"/>
                <w:sz w:val="48"/>
              </w:rPr>
              <w:t>CHRISTIAN PENG</w:t>
            </w:r>
            <w:bookmarkEnd w:id="0"/>
          </w:p>
          <w:p w14:paraId="706EB16B" w14:textId="4FC20B25" w:rsidR="0049405C" w:rsidRPr="00C24D79" w:rsidRDefault="0033575F" w:rsidP="0033575F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33575F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33575F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33575F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623278F5" w:rsidR="0049405C" w:rsidRPr="00C24D79" w:rsidRDefault="0033575F" w:rsidP="0033575F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33575F">
              <w:rPr>
                <w:rFonts w:ascii="等线" w:eastAsia="等线" w:hAnsi="Times New Roman"/>
                <w:color w:val="000000"/>
              </w:rPr>
              <w:t xml:space="preserve">+86 10 5769 4228 </w:t>
            </w:r>
            <w:bookmarkEnd w:id="3"/>
          </w:p>
          <w:p w14:paraId="4F910ACA" w14:textId="45574C22" w:rsidR="0049405C" w:rsidRPr="00C24D79" w:rsidRDefault="0033575F" w:rsidP="0033575F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33575F">
              <w:rPr>
                <w:rFonts w:ascii="等线" w:eastAsia="等线" w:hAnsi="Times New Roman"/>
                <w:color w:val="000000"/>
              </w:rPr>
              <w:t>christian.peng@fangdalaw.com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4395753" w:rsidR="0049405C" w:rsidRPr="00C24D79" w:rsidRDefault="0033575F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6D7CDD7" wp14:editId="50E0D553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1109B3A" w:rsidR="009465FB" w:rsidRPr="00C24D79" w:rsidRDefault="0033575F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33575F">
              <w:rPr>
                <w:rFonts w:ascii="等线" w:eastAsia="等线" w:hAnsi="Times New Roman"/>
                <w:color w:val="000000"/>
                <w:szCs w:val="21"/>
              </w:rPr>
              <w:t>Mr. Peng specializes iN M&amp;A, private equity investment, foreign direct investment, outbound investment and general commercial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B34B8A4" w14:textId="77777777" w:rsidR="0033575F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9897F07" w14:textId="77777777" w:rsidR="0033575F" w:rsidRDefault="0033575F" w:rsidP="0033575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3575F">
        <w:rPr>
          <w:rFonts w:ascii="等线" w:eastAsia="等线" w:hAnsi="等线"/>
          <w:b/>
          <w:sz w:val="24"/>
        </w:rPr>
        <w:t>REPRESENTATIVE MATTERS AND CASES</w:t>
      </w:r>
    </w:p>
    <w:p w14:paraId="4D940256" w14:textId="77777777" w:rsidR="0033575F" w:rsidRDefault="0033575F" w:rsidP="0033575F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41657289" w14:textId="77777777" w:rsidR="0033575F" w:rsidRDefault="0033575F" w:rsidP="0033575F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575F">
        <w:rPr>
          <w:rFonts w:ascii="等线" w:eastAsia="等线" w:hAnsi="Times New Roman"/>
          <w:color w:val="000000"/>
        </w:rPr>
        <w:t>Represented Anta, FountainVest and other co-investors in their tender offer acquisition of Amer Sports for EUR 4.6 billion (Outbound Bound Deal of Year 2018, China Law &amp; Practice)</w:t>
      </w:r>
    </w:p>
    <w:p w14:paraId="606B3387" w14:textId="77777777" w:rsidR="0033575F" w:rsidRDefault="0033575F" w:rsidP="0033575F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575F">
        <w:rPr>
          <w:rFonts w:ascii="等线" w:eastAsia="等线" w:hAnsi="Times New Roman"/>
          <w:color w:val="000000"/>
        </w:rPr>
        <w:t>Represented Weichai Power in its acquisition of 25% shares in KION GmbH and 70% equity interest in Kion</w:t>
      </w:r>
      <w:r w:rsidRPr="0033575F">
        <w:rPr>
          <w:rFonts w:ascii="等线" w:eastAsia="等线" w:hAnsi="Times New Roman"/>
          <w:color w:val="000000"/>
        </w:rPr>
        <w:t>’</w:t>
      </w:r>
      <w:r w:rsidRPr="0033575F">
        <w:rPr>
          <w:rFonts w:ascii="等线" w:eastAsia="等线" w:hAnsi="Times New Roman"/>
          <w:color w:val="000000"/>
        </w:rPr>
        <w:t>s subsidiary, Linde Hydraulics, for USD 750 million (Outbound Bound Deal of Year 2012, China Law &amp; Practice)</w:t>
      </w:r>
    </w:p>
    <w:p w14:paraId="3C6D5BA1" w14:textId="77777777" w:rsidR="0033575F" w:rsidRDefault="0033575F" w:rsidP="0033575F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575F">
        <w:rPr>
          <w:rFonts w:ascii="等线" w:eastAsia="等线" w:hAnsi="Times New Roman"/>
          <w:color w:val="000000"/>
        </w:rPr>
        <w:t>Represented Zoomlion in its sale of Zoomlion Environment to a consortium for RMB 1.16 billion</w:t>
      </w:r>
    </w:p>
    <w:p w14:paraId="0CFB6AF1" w14:textId="77777777" w:rsidR="0033575F" w:rsidRDefault="0033575F" w:rsidP="0033575F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575F">
        <w:rPr>
          <w:rFonts w:ascii="等线" w:eastAsia="等线" w:hAnsi="Times New Roman"/>
          <w:color w:val="000000"/>
        </w:rPr>
        <w:t>Represented Fosun Pharma in its privatization and delisting of Chindex (the holding entity for United Family Hospital) from the NASDAQ</w:t>
      </w:r>
    </w:p>
    <w:p w14:paraId="42B7538E" w14:textId="77777777" w:rsidR="0033575F" w:rsidRDefault="0033575F" w:rsidP="0033575F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575F">
        <w:rPr>
          <w:rFonts w:ascii="等线" w:eastAsia="等线" w:hAnsi="Times New Roman"/>
          <w:color w:val="000000"/>
        </w:rPr>
        <w:t>Represented ByteDance in its acquisition of a music company</w:t>
      </w:r>
    </w:p>
    <w:p w14:paraId="1E394DD5" w14:textId="77777777" w:rsidR="0033575F" w:rsidRDefault="0033575F" w:rsidP="0033575F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575F">
        <w:rPr>
          <w:rFonts w:ascii="等线" w:eastAsia="等线" w:hAnsi="Times New Roman"/>
          <w:color w:val="000000"/>
        </w:rPr>
        <w:t>Represented Baring Asia and CITIC PE in its acquisition of 100% shares in Wall Street English for USD 300 million</w:t>
      </w:r>
    </w:p>
    <w:p w14:paraId="1E4BB642" w14:textId="77777777" w:rsidR="0033575F" w:rsidRDefault="0033575F" w:rsidP="0033575F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575F">
        <w:rPr>
          <w:rFonts w:ascii="等线" w:eastAsia="等线" w:hAnsi="Times New Roman"/>
          <w:color w:val="000000"/>
        </w:rPr>
        <w:t>Represented Warburg Pincus in its equity investment into Ant Finance</w:t>
      </w:r>
    </w:p>
    <w:p w14:paraId="74B82E4A" w14:textId="77777777" w:rsidR="0033575F" w:rsidRDefault="0033575F" w:rsidP="0033575F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575F">
        <w:rPr>
          <w:rFonts w:ascii="等线" w:eastAsia="等线" w:hAnsi="Times New Roman"/>
          <w:color w:val="000000"/>
        </w:rPr>
        <w:t>Represented CITIC PE in its acquisition of equity interest in ByteDance</w:t>
      </w:r>
    </w:p>
    <w:p w14:paraId="55584FF4" w14:textId="77777777" w:rsidR="0033575F" w:rsidRDefault="0033575F" w:rsidP="0033575F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575F">
        <w:rPr>
          <w:rFonts w:ascii="等线" w:eastAsia="等线" w:hAnsi="Times New Roman"/>
          <w:color w:val="000000"/>
        </w:rPr>
        <w:t>Represented Warburg Pincus and other investors in its sale of stocks in AANG (HK.2686) through a tender offer</w:t>
      </w:r>
    </w:p>
    <w:p w14:paraId="35814764" w14:textId="77777777" w:rsidR="0033575F" w:rsidRDefault="0033575F" w:rsidP="0033575F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575F">
        <w:rPr>
          <w:rFonts w:ascii="等线" w:eastAsia="等线" w:hAnsi="Times New Roman"/>
          <w:color w:val="000000"/>
        </w:rPr>
        <w:t>Represented Fosun Pharma in forming a consortium with other investors to acquire 100% shares of a leading pharmaceuticals company, Ambrx Inc. for USD 180 million</w:t>
      </w:r>
    </w:p>
    <w:p w14:paraId="1B9A7B13" w14:textId="77777777" w:rsidR="0033575F" w:rsidRDefault="0033575F" w:rsidP="0033575F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575F">
        <w:rPr>
          <w:rFonts w:ascii="等线" w:eastAsia="等线" w:hAnsi="Times New Roman"/>
          <w:color w:val="000000"/>
        </w:rPr>
        <w:t>Represented Zoomlion and Mandarin Capital in their acquisition of 75% shares of Ladurner</w:t>
      </w:r>
    </w:p>
    <w:p w14:paraId="231024D2" w14:textId="77777777" w:rsidR="0033575F" w:rsidRDefault="0033575F" w:rsidP="0033575F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575F">
        <w:rPr>
          <w:rFonts w:ascii="等线" w:eastAsia="等线" w:hAnsi="Times New Roman"/>
          <w:color w:val="000000"/>
        </w:rPr>
        <w:t>Represented Shandong Heavy Industry Group in its acquisition of 75% shares of Italian luxury yacht manufacture Feretti S.p.A. for EUR 374 million</w:t>
      </w:r>
    </w:p>
    <w:p w14:paraId="3AD8A0A9" w14:textId="77777777" w:rsidR="0033575F" w:rsidRDefault="0033575F" w:rsidP="0033575F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575F">
        <w:rPr>
          <w:rFonts w:ascii="等线" w:eastAsia="等线" w:hAnsi="Times New Roman"/>
          <w:color w:val="000000"/>
        </w:rPr>
        <w:t>Represented Guohua Energy Investment Co. in its acquisition of 75% shares of Musselroe Wind Farm in Australia</w:t>
      </w:r>
    </w:p>
    <w:p w14:paraId="4F7D0B3A" w14:textId="77777777" w:rsidR="0033575F" w:rsidRDefault="0033575F" w:rsidP="0033575F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575F">
        <w:rPr>
          <w:rFonts w:ascii="等线" w:eastAsia="等线" w:hAnsi="Times New Roman"/>
          <w:color w:val="000000"/>
        </w:rPr>
        <w:t>Represented CVC Capital Partners in its acquisition of majority stake in South Beauty, a prominent full-service restaurant in China</w:t>
      </w:r>
    </w:p>
    <w:p w14:paraId="13DAC57F" w14:textId="77777777" w:rsidR="0033575F" w:rsidRDefault="0033575F" w:rsidP="0033575F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575F">
        <w:rPr>
          <w:rFonts w:ascii="等线" w:eastAsia="等线" w:hAnsi="Times New Roman"/>
          <w:color w:val="000000"/>
        </w:rPr>
        <w:t>Represented Veolia in its acquisition of a biomass power station</w:t>
      </w:r>
    </w:p>
    <w:p w14:paraId="57416D43" w14:textId="77777777" w:rsidR="0033575F" w:rsidRDefault="0033575F" w:rsidP="0033575F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575F">
        <w:rPr>
          <w:rFonts w:ascii="等线" w:eastAsia="等线" w:hAnsi="Times New Roman"/>
          <w:color w:val="000000"/>
        </w:rPr>
        <w:t>Represented Daimler AG on its pre-IPO investment for a 12% stake in BAIC Motor for RMB 5.13 billion</w:t>
      </w:r>
    </w:p>
    <w:p w14:paraId="23309CF5" w14:textId="77777777" w:rsidR="0033575F" w:rsidRDefault="0033575F" w:rsidP="0033575F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575F">
        <w:rPr>
          <w:rFonts w:ascii="等线" w:eastAsia="等线" w:hAnsi="Times New Roman"/>
          <w:color w:val="000000"/>
        </w:rPr>
        <w:t>Represented Nissan in the divesture of a commercial vehicle business from Dongfeng-Nissan</w:t>
      </w:r>
    </w:p>
    <w:p w14:paraId="38DE0637" w14:textId="77777777" w:rsidR="0033575F" w:rsidRDefault="0033575F" w:rsidP="0033575F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575F">
        <w:rPr>
          <w:rFonts w:ascii="等线" w:eastAsia="等线" w:hAnsi="Times New Roman"/>
          <w:color w:val="000000"/>
        </w:rPr>
        <w:t>Represented Qingdao Haier (SH.600690) in its issuance of 10% shares to KKR as a strategic partner through PIPE</w:t>
      </w:r>
    </w:p>
    <w:p w14:paraId="777CE8C3" w14:textId="77777777" w:rsidR="0033575F" w:rsidRDefault="0033575F" w:rsidP="0033575F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575F">
        <w:rPr>
          <w:rFonts w:ascii="等线" w:eastAsia="等线" w:hAnsi="Times New Roman"/>
          <w:color w:val="000000"/>
        </w:rPr>
        <w:t>Represented Alibaba in its acquisition of a video game company</w:t>
      </w:r>
    </w:p>
    <w:p w14:paraId="57A824B3" w14:textId="77777777" w:rsidR="0033575F" w:rsidRDefault="0033575F" w:rsidP="0033575F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575F">
        <w:rPr>
          <w:rFonts w:ascii="等线" w:eastAsia="等线" w:hAnsi="Times New Roman"/>
          <w:color w:val="000000"/>
        </w:rPr>
        <w:t>Represented Boyu Capital in its equity investment into a top-tier liquor enterprise</w:t>
      </w:r>
    </w:p>
    <w:p w14:paraId="501FAE2C" w14:textId="77777777" w:rsidR="0033575F" w:rsidRDefault="0033575F" w:rsidP="0033575F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575F">
        <w:rPr>
          <w:rFonts w:ascii="等线" w:eastAsia="等线" w:hAnsi="Times New Roman"/>
          <w:color w:val="000000"/>
        </w:rPr>
        <w:t>Represented Yunfeng Capital in its investments into startup companies</w:t>
      </w:r>
    </w:p>
    <w:p w14:paraId="25BAD896" w14:textId="77777777" w:rsidR="0033575F" w:rsidRDefault="0033575F" w:rsidP="0033575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3575F">
        <w:rPr>
          <w:rFonts w:ascii="等线" w:eastAsia="等线" w:hAnsi="等线"/>
          <w:b/>
          <w:sz w:val="24"/>
        </w:rPr>
        <w:t>Education</w:t>
      </w:r>
    </w:p>
    <w:p w14:paraId="5200C443" w14:textId="77777777" w:rsidR="0033575F" w:rsidRDefault="0033575F" w:rsidP="0033575F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575F">
        <w:rPr>
          <w:rFonts w:ascii="等线" w:eastAsia="等线" w:hAnsi="Times New Roman"/>
          <w:color w:val="000000"/>
        </w:rPr>
        <w:t>Peking University School of Law, LL.B, 2010</w:t>
      </w:r>
    </w:p>
    <w:p w14:paraId="60F66005" w14:textId="77777777" w:rsidR="0033575F" w:rsidRDefault="0033575F" w:rsidP="0033575F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575F">
        <w:rPr>
          <w:rFonts w:ascii="等线" w:eastAsia="等线" w:hAnsi="Times New Roman"/>
          <w:color w:val="000000"/>
        </w:rPr>
        <w:t>Peking University China Center for Economic Research, Bachelor of Economics, 2010</w:t>
      </w:r>
    </w:p>
    <w:p w14:paraId="6615F6EF" w14:textId="77777777" w:rsidR="0033575F" w:rsidRDefault="0033575F" w:rsidP="0033575F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575F">
        <w:rPr>
          <w:rFonts w:ascii="等线" w:eastAsia="等线" w:hAnsi="Times New Roman"/>
          <w:color w:val="000000"/>
        </w:rPr>
        <w:t>University of California, Berkeley, LL.M, 2011</w:t>
      </w:r>
    </w:p>
    <w:p w14:paraId="653A2CAA" w14:textId="77777777" w:rsidR="0033575F" w:rsidRDefault="0033575F" w:rsidP="0033575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3575F">
        <w:rPr>
          <w:rFonts w:ascii="等线" w:eastAsia="等线" w:hAnsi="等线"/>
          <w:b/>
          <w:sz w:val="24"/>
        </w:rPr>
        <w:t>Professional Qualification</w:t>
      </w:r>
    </w:p>
    <w:p w14:paraId="020CBF9F" w14:textId="77777777" w:rsidR="0033575F" w:rsidRDefault="0033575F" w:rsidP="0033575F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575F">
        <w:rPr>
          <w:rFonts w:ascii="等线" w:eastAsia="等线" w:hAnsi="Times New Roman"/>
          <w:color w:val="000000"/>
        </w:rPr>
        <w:t>Admitted to practice in the PRC and New York</w:t>
      </w:r>
    </w:p>
    <w:p w14:paraId="580BE5D7" w14:textId="77777777" w:rsidR="0033575F" w:rsidRDefault="0033575F" w:rsidP="0033575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3575F">
        <w:rPr>
          <w:rFonts w:ascii="等线" w:eastAsia="等线" w:hAnsi="等线"/>
          <w:b/>
          <w:sz w:val="24"/>
        </w:rPr>
        <w:t>Professional Background</w:t>
      </w:r>
    </w:p>
    <w:p w14:paraId="5567FC3C" w14:textId="5B7D5D51" w:rsidR="00686369" w:rsidRPr="0033575F" w:rsidRDefault="0033575F" w:rsidP="0033575F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575F">
        <w:rPr>
          <w:rFonts w:ascii="等线" w:eastAsia="等线" w:hAnsi="Times New Roman"/>
          <w:color w:val="000000"/>
        </w:rPr>
        <w:t>Mr. Peng joined Fangda in 2015. Before joining the firm, he worked at another leading PRC law firm as an associate for three years and at a leading investment firm as legal director. He has been awarded as a top young lawyer (30 under 30) by LegalBand.</w:t>
      </w:r>
    </w:p>
    <w:sectPr w:rsidR="00686369" w:rsidRPr="0033575F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1457E"/>
    <w:multiLevelType w:val="singleLevel"/>
    <w:tmpl w:val="5C3CE9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5A3683C"/>
    <w:multiLevelType w:val="singleLevel"/>
    <w:tmpl w:val="92EE34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6B33642"/>
    <w:multiLevelType w:val="singleLevel"/>
    <w:tmpl w:val="44D649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A505BF1"/>
    <w:multiLevelType w:val="singleLevel"/>
    <w:tmpl w:val="E6E0E5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AD360ED"/>
    <w:multiLevelType w:val="singleLevel"/>
    <w:tmpl w:val="ED9C20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A724EE0"/>
    <w:multiLevelType w:val="singleLevel"/>
    <w:tmpl w:val="829620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F1D48AB"/>
    <w:multiLevelType w:val="singleLevel"/>
    <w:tmpl w:val="398658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6541209"/>
    <w:multiLevelType w:val="singleLevel"/>
    <w:tmpl w:val="D2A0E5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C6A2735"/>
    <w:multiLevelType w:val="singleLevel"/>
    <w:tmpl w:val="B21450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2BC0A5E"/>
    <w:multiLevelType w:val="singleLevel"/>
    <w:tmpl w:val="677A14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6714329"/>
    <w:multiLevelType w:val="singleLevel"/>
    <w:tmpl w:val="316437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3DF17CDC"/>
    <w:multiLevelType w:val="singleLevel"/>
    <w:tmpl w:val="785A73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E9B7125"/>
    <w:multiLevelType w:val="singleLevel"/>
    <w:tmpl w:val="91BE9A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33B6A02"/>
    <w:multiLevelType w:val="singleLevel"/>
    <w:tmpl w:val="592421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7DD2B05"/>
    <w:multiLevelType w:val="singleLevel"/>
    <w:tmpl w:val="48881A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97846FA"/>
    <w:multiLevelType w:val="singleLevel"/>
    <w:tmpl w:val="11A2F6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4BC0A33"/>
    <w:multiLevelType w:val="singleLevel"/>
    <w:tmpl w:val="2ABA9F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B080B93"/>
    <w:multiLevelType w:val="singleLevel"/>
    <w:tmpl w:val="E6E0E5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6910AC1"/>
    <w:multiLevelType w:val="singleLevel"/>
    <w:tmpl w:val="FC641C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6FB08FA"/>
    <w:multiLevelType w:val="singleLevel"/>
    <w:tmpl w:val="F17013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85A24E0"/>
    <w:multiLevelType w:val="singleLevel"/>
    <w:tmpl w:val="DC86B2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8BE02CA"/>
    <w:multiLevelType w:val="singleLevel"/>
    <w:tmpl w:val="1222F4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92A3938"/>
    <w:multiLevelType w:val="singleLevel"/>
    <w:tmpl w:val="B4EE9A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F0E3828"/>
    <w:multiLevelType w:val="singleLevel"/>
    <w:tmpl w:val="00503C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3DE4CD6"/>
    <w:multiLevelType w:val="singleLevel"/>
    <w:tmpl w:val="6696E1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BD31C1C"/>
    <w:multiLevelType w:val="singleLevel"/>
    <w:tmpl w:val="36282B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E67163B"/>
    <w:multiLevelType w:val="singleLevel"/>
    <w:tmpl w:val="86F864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2"/>
  </w:num>
  <w:num w:numId="3">
    <w:abstractNumId w:val="26"/>
  </w:num>
  <w:num w:numId="4">
    <w:abstractNumId w:val="10"/>
  </w:num>
  <w:num w:numId="5">
    <w:abstractNumId w:val="1"/>
  </w:num>
  <w:num w:numId="6">
    <w:abstractNumId w:val="17"/>
  </w:num>
  <w:num w:numId="7">
    <w:abstractNumId w:val="2"/>
  </w:num>
  <w:num w:numId="8">
    <w:abstractNumId w:val="0"/>
  </w:num>
  <w:num w:numId="9">
    <w:abstractNumId w:val="11"/>
  </w:num>
  <w:num w:numId="10">
    <w:abstractNumId w:val="14"/>
  </w:num>
  <w:num w:numId="11">
    <w:abstractNumId w:val="4"/>
  </w:num>
  <w:num w:numId="12">
    <w:abstractNumId w:val="21"/>
  </w:num>
  <w:num w:numId="13">
    <w:abstractNumId w:val="25"/>
  </w:num>
  <w:num w:numId="14">
    <w:abstractNumId w:val="5"/>
  </w:num>
  <w:num w:numId="15">
    <w:abstractNumId w:val="8"/>
  </w:num>
  <w:num w:numId="16">
    <w:abstractNumId w:val="16"/>
  </w:num>
  <w:num w:numId="17">
    <w:abstractNumId w:val="18"/>
  </w:num>
  <w:num w:numId="18">
    <w:abstractNumId w:val="28"/>
  </w:num>
  <w:num w:numId="19">
    <w:abstractNumId w:val="20"/>
  </w:num>
  <w:num w:numId="20">
    <w:abstractNumId w:val="13"/>
  </w:num>
  <w:num w:numId="21">
    <w:abstractNumId w:val="6"/>
  </w:num>
  <w:num w:numId="22">
    <w:abstractNumId w:val="24"/>
  </w:num>
  <w:num w:numId="23">
    <w:abstractNumId w:val="15"/>
  </w:num>
  <w:num w:numId="24">
    <w:abstractNumId w:val="7"/>
  </w:num>
  <w:num w:numId="25">
    <w:abstractNumId w:val="23"/>
  </w:num>
  <w:num w:numId="26">
    <w:abstractNumId w:val="27"/>
  </w:num>
  <w:num w:numId="27">
    <w:abstractNumId w:val="22"/>
  </w:num>
  <w:num w:numId="28">
    <w:abstractNumId w:val="19"/>
  </w:num>
  <w:num w:numId="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3575F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33575F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33575F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0491E84-5B54-423A-A4C5-EBA875D50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458</Words>
  <Characters>2616</Characters>
  <Application>Microsoft Office Word</Application>
  <DocSecurity>0</DocSecurity>
  <Lines>21</Lines>
  <Paragraphs>6</Paragraphs>
  <ScaleCrop>false</ScaleCrop>
  <Company/>
  <LinksUpToDate>false</LinksUpToDate>
  <CharactersWithSpaces>3068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2026-08-04T18:57:00Z</dcterms:created>
  <dcterms:modified xsi:type="dcterms:W3CDTF">2026-08-04T18:57:00Z</dcterms:modified>
</cp:coreProperties>
</file>