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5466"/>
      </w:tblGrid>
      <w:tr w:rsidR="0049405C" w:rsidRPr="00C24D79" w14:paraId="76EB2C64" w14:textId="77777777" w:rsidTr="00E70303">
        <w:trPr>
          <w:trHeight w:val="3267"/>
        </w:trPr>
        <w:tc>
          <w:tcPr>
            <w:tcW w:w="5485" w:type="dxa"/>
            <w:tcBorders>
              <w:left w:val="single" w:sz="24" w:space="0" w:color="271D78"/>
            </w:tcBorders>
          </w:tcPr>
          <w:p w14:paraId="2C4F11E8" w14:textId="4B288538" w:rsidR="0049405C" w:rsidRPr="00C24D79" w:rsidRDefault="006515CF" w:rsidP="006515CF">
            <w:pPr>
              <w:spacing w:line="720" w:lineRule="auto"/>
              <w:rPr>
                <w:rFonts w:eastAsiaTheme="minorHAnsi"/>
                <w:color w:val="545551"/>
              </w:rPr>
            </w:pPr>
            <w:bookmarkStart w:id="0" w:name="xingming"/>
            <w:bookmarkStart w:id="1" w:name="_GoBack"/>
            <w:bookmarkEnd w:id="1"/>
            <w:r w:rsidRPr="006515CF">
              <w:rPr>
                <w:rFonts w:ascii="等线" w:eastAsia="等线" w:hAnsi="Times New Roman"/>
                <w:b/>
                <w:color w:val="000000"/>
                <w:sz w:val="48"/>
              </w:rPr>
              <w:t>CHEN LU</w:t>
            </w:r>
            <w:bookmarkEnd w:id="0"/>
          </w:p>
          <w:p w14:paraId="706EB16B" w14:textId="6C8B933A" w:rsidR="0049405C" w:rsidRPr="00C24D79" w:rsidRDefault="006515CF" w:rsidP="006515CF">
            <w:pPr>
              <w:spacing w:line="360" w:lineRule="auto"/>
              <w:rPr>
                <w:rFonts w:eastAsiaTheme="minorHAnsi"/>
                <w:b/>
                <w:bCs/>
                <w:color w:val="545551"/>
              </w:rPr>
            </w:pPr>
            <w:bookmarkStart w:id="2" w:name="didian"/>
            <w:r w:rsidRPr="006515CF">
              <w:rPr>
                <w:rFonts w:ascii="等线" w:eastAsia="等线" w:hAnsi="Times New Roman"/>
                <w:b/>
                <w:bCs/>
                <w:color w:val="000000"/>
              </w:rPr>
              <w:t>Partner</w:t>
            </w:r>
            <w:r w:rsidRPr="006515CF">
              <w:rPr>
                <w:rFonts w:ascii="等线" w:eastAsia="等线" w:hAnsi="Times New Roman"/>
                <w:b/>
                <w:bCs/>
                <w:color w:val="000000"/>
              </w:rPr>
              <w:t>·</w:t>
            </w:r>
            <w:r w:rsidRPr="006515CF">
              <w:rPr>
                <w:rFonts w:ascii="等线" w:eastAsia="等线" w:hAnsi="Times New Roman"/>
                <w:b/>
                <w:bCs/>
                <w:color w:val="000000"/>
              </w:rPr>
              <w:t>Shanghai</w:t>
            </w:r>
            <w:bookmarkEnd w:id="2"/>
          </w:p>
          <w:p w14:paraId="6199424A" w14:textId="419C08C3" w:rsidR="0049405C" w:rsidRPr="00C24D79" w:rsidRDefault="006515CF" w:rsidP="006515CF">
            <w:pPr>
              <w:spacing w:line="360" w:lineRule="auto"/>
              <w:rPr>
                <w:rFonts w:eastAsiaTheme="minorHAnsi"/>
                <w:color w:val="545551"/>
              </w:rPr>
            </w:pPr>
            <w:bookmarkStart w:id="3" w:name="dianhua"/>
            <w:r w:rsidRPr="006515CF">
              <w:rPr>
                <w:rFonts w:ascii="等线" w:eastAsia="等线" w:hAnsi="Times New Roman"/>
                <w:color w:val="000000"/>
              </w:rPr>
              <w:t>+86 21 6263 5936</w:t>
            </w:r>
            <w:bookmarkEnd w:id="3"/>
          </w:p>
          <w:p w14:paraId="4F910ACA" w14:textId="1A0901E0" w:rsidR="0049405C" w:rsidRPr="00C24D79" w:rsidRDefault="006515CF" w:rsidP="006515CF">
            <w:pPr>
              <w:spacing w:line="360" w:lineRule="auto"/>
              <w:rPr>
                <w:rFonts w:eastAsiaTheme="minorHAnsi"/>
                <w:color w:val="000000"/>
              </w:rPr>
            </w:pPr>
            <w:bookmarkStart w:id="4" w:name="youxiang"/>
            <w:r w:rsidRPr="006515CF">
              <w:rPr>
                <w:rFonts w:ascii="等线" w:eastAsia="等线" w:hAnsi="Times New Roman"/>
                <w:color w:val="000000"/>
              </w:rPr>
              <w:t>chen.lu@fangdalaw.com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E3A2476" w:rsidR="0049405C" w:rsidRPr="00C24D79" w:rsidRDefault="006515C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795BC2C" wp14:editId="0A18558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699AA77" w:rsidR="009465FB" w:rsidRPr="00C24D79" w:rsidRDefault="006515CF" w:rsidP="007177F3">
            <w:pPr>
              <w:rPr>
                <w:rFonts w:eastAsiaTheme="minorHAnsi"/>
                <w:color w:val="000000"/>
                <w:szCs w:val="21"/>
              </w:rPr>
            </w:pPr>
            <w:bookmarkStart w:id="6" w:name="zhiyelingyu"/>
            <w:r w:rsidRPr="006515CF">
              <w:rPr>
                <w:rFonts w:ascii="等线" w:eastAsia="等线" w:hAnsi="Times New Roman"/>
                <w:color w:val="000000"/>
                <w:szCs w:val="21"/>
              </w:rPr>
              <w:t>MR. LU ADVISES ON ONSHORE AND CROSS-BORDER M&amp;A AND ON PRIVATE EQUITY AND CHINA INVESTMENTS. HE HAS EXPERIENCE IN A VARIETY OF CHINA-RELATED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DA8DA8" w14:textId="77777777" w:rsidR="006515C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049AB7" w14:textId="77777777" w:rsidR="006515CF" w:rsidRDefault="006515CF" w:rsidP="006515CF">
      <w:pPr>
        <w:pStyle w:val="af5"/>
        <w:spacing w:after="0" w:line="480" w:lineRule="auto"/>
        <w:rPr>
          <w:rFonts w:ascii="等线" w:eastAsia="等线" w:hAnsi="等线"/>
          <w:b/>
          <w:sz w:val="24"/>
        </w:rPr>
      </w:pPr>
      <w:r w:rsidRPr="006515CF">
        <w:rPr>
          <w:rFonts w:ascii="等线" w:eastAsia="等线" w:hAnsi="等线"/>
          <w:b/>
          <w:sz w:val="24"/>
        </w:rPr>
        <w:t>REPRESENTATIVE MATTERS AND CASES</w:t>
      </w:r>
    </w:p>
    <w:p w14:paraId="06E5AA0A" w14:textId="77777777" w:rsidR="006515CF" w:rsidRDefault="006515CF" w:rsidP="006515CF">
      <w:pPr>
        <w:pStyle w:val="af5"/>
        <w:spacing w:before="120"/>
        <w:rPr>
          <w:rFonts w:ascii="等线" w:eastAsia="等线" w:hAnsi="Times New Roman"/>
          <w:color w:val="000000"/>
        </w:rPr>
      </w:pPr>
      <w:r w:rsidRPr="006515CF">
        <w:rPr>
          <w:rFonts w:ascii="等线" w:eastAsia="等线" w:hAnsi="Times New Roman"/>
          <w:color w:val="000000"/>
        </w:rPr>
        <w:t>Acquisition and Exit Transactions*</w:t>
      </w:r>
    </w:p>
    <w:p w14:paraId="45A23483" w14:textId="77777777" w:rsidR="006515CF" w:rsidRDefault="006515CF" w:rsidP="006515CF">
      <w:pPr>
        <w:pStyle w:val="af5"/>
        <w:numPr>
          <w:ilvl w:val="0"/>
          <w:numId w:val="4"/>
        </w:numPr>
        <w:spacing w:before="120"/>
        <w:ind w:left="690" w:hanging="240"/>
        <w:rPr>
          <w:rFonts w:ascii="等线" w:eastAsia="等线" w:hAnsi="Times New Roman"/>
          <w:color w:val="000000"/>
        </w:rPr>
      </w:pPr>
      <w:r w:rsidRPr="006515CF">
        <w:rPr>
          <w:rFonts w:ascii="等线" w:eastAsia="等线" w:hAnsi="Times New Roman"/>
          <w:color w:val="000000"/>
        </w:rPr>
        <w:t>Advised PAG on its controlling stake acquisition of CINIC, an industry leader in organic pigments</w:t>
      </w:r>
    </w:p>
    <w:p w14:paraId="781F000A" w14:textId="77777777" w:rsidR="006515CF" w:rsidRDefault="006515CF" w:rsidP="006515CF">
      <w:pPr>
        <w:pStyle w:val="af5"/>
        <w:numPr>
          <w:ilvl w:val="0"/>
          <w:numId w:val="5"/>
        </w:numPr>
        <w:spacing w:before="120"/>
        <w:ind w:left="690" w:hanging="240"/>
        <w:rPr>
          <w:rFonts w:ascii="等线" w:eastAsia="等线" w:hAnsi="Times New Roman"/>
          <w:color w:val="000000"/>
        </w:rPr>
      </w:pPr>
      <w:r w:rsidRPr="006515CF">
        <w:rPr>
          <w:rFonts w:ascii="等线" w:eastAsia="等线" w:hAnsi="Times New Roman"/>
          <w:color w:val="000000"/>
        </w:rPr>
        <w:t>Advised Kirin on its sale of 40% shares in CR Beverage</w:t>
      </w:r>
    </w:p>
    <w:p w14:paraId="6547D982" w14:textId="77777777" w:rsidR="006515CF" w:rsidRDefault="006515CF" w:rsidP="006515CF">
      <w:pPr>
        <w:pStyle w:val="af5"/>
        <w:numPr>
          <w:ilvl w:val="0"/>
          <w:numId w:val="6"/>
        </w:numPr>
        <w:spacing w:before="120"/>
        <w:ind w:left="690" w:hanging="240"/>
        <w:rPr>
          <w:rFonts w:ascii="等线" w:eastAsia="等线" w:hAnsi="Times New Roman"/>
          <w:color w:val="000000"/>
        </w:rPr>
      </w:pPr>
      <w:r w:rsidRPr="006515CF">
        <w:rPr>
          <w:rFonts w:ascii="等线" w:eastAsia="等线" w:hAnsi="Times New Roman"/>
          <w:color w:val="000000"/>
        </w:rPr>
        <w:t>Advised Partners Group on its potential investment in Apex Logistics</w:t>
      </w:r>
    </w:p>
    <w:p w14:paraId="28C28131" w14:textId="77777777" w:rsidR="006515CF" w:rsidRDefault="006515CF" w:rsidP="006515CF">
      <w:pPr>
        <w:pStyle w:val="af5"/>
        <w:numPr>
          <w:ilvl w:val="0"/>
          <w:numId w:val="7"/>
        </w:numPr>
        <w:spacing w:before="120"/>
        <w:ind w:left="690" w:hanging="240"/>
        <w:rPr>
          <w:rFonts w:ascii="等线" w:eastAsia="等线" w:hAnsi="Times New Roman"/>
          <w:color w:val="000000"/>
        </w:rPr>
      </w:pPr>
      <w:r w:rsidRPr="006515CF">
        <w:rPr>
          <w:rFonts w:ascii="等线" w:eastAsia="等线" w:hAnsi="Times New Roman"/>
          <w:color w:val="000000"/>
        </w:rPr>
        <w:t>Advised an ESR-managed fund in its sale of nine logistics properties to an ESR-managed RMB income fund with the aggregate gross asset value of more than RMB 5.8 billion</w:t>
      </w:r>
    </w:p>
    <w:p w14:paraId="03002FD0" w14:textId="77777777" w:rsidR="006515CF" w:rsidRDefault="006515CF" w:rsidP="006515CF">
      <w:pPr>
        <w:pStyle w:val="af5"/>
        <w:numPr>
          <w:ilvl w:val="0"/>
          <w:numId w:val="8"/>
        </w:numPr>
        <w:spacing w:before="120"/>
        <w:ind w:left="690" w:hanging="240"/>
        <w:rPr>
          <w:rFonts w:ascii="等线" w:eastAsia="等线" w:hAnsi="Times New Roman"/>
          <w:color w:val="000000"/>
        </w:rPr>
      </w:pPr>
      <w:r w:rsidRPr="006515CF">
        <w:rPr>
          <w:rFonts w:ascii="等线" w:eastAsia="等线" w:hAnsi="Times New Roman"/>
          <w:color w:val="000000"/>
        </w:rPr>
        <w:t>Advised Novo Tellus and 65 Equity Partners, two Singapore-based investment funds, in connection with the acquisition of precision components business</w:t>
      </w:r>
    </w:p>
    <w:p w14:paraId="288DAC97" w14:textId="77777777" w:rsidR="006515CF" w:rsidRDefault="006515CF" w:rsidP="006515CF">
      <w:pPr>
        <w:pStyle w:val="af5"/>
        <w:numPr>
          <w:ilvl w:val="0"/>
          <w:numId w:val="9"/>
        </w:numPr>
        <w:spacing w:before="120"/>
        <w:ind w:left="690" w:hanging="240"/>
        <w:rPr>
          <w:rFonts w:ascii="等线" w:eastAsia="等线" w:hAnsi="Times New Roman"/>
          <w:color w:val="000000"/>
        </w:rPr>
      </w:pPr>
      <w:r w:rsidRPr="006515CF">
        <w:rPr>
          <w:rFonts w:ascii="等线" w:eastAsia="等线" w:hAnsi="Times New Roman"/>
          <w:color w:val="000000"/>
        </w:rPr>
        <w:t>Advised Bright Food Group on its acquisition of a 90% stake in Salov Group</w:t>
      </w:r>
    </w:p>
    <w:p w14:paraId="062D4F76" w14:textId="77777777" w:rsidR="006515CF" w:rsidRDefault="006515CF" w:rsidP="006515CF">
      <w:pPr>
        <w:pStyle w:val="af5"/>
        <w:numPr>
          <w:ilvl w:val="0"/>
          <w:numId w:val="10"/>
        </w:numPr>
        <w:spacing w:before="120"/>
        <w:ind w:left="690" w:hanging="240"/>
        <w:rPr>
          <w:rFonts w:ascii="等线" w:eastAsia="等线" w:hAnsi="Times New Roman"/>
          <w:color w:val="000000"/>
        </w:rPr>
      </w:pPr>
      <w:r w:rsidRPr="006515CF">
        <w:rPr>
          <w:rFonts w:ascii="等线" w:eastAsia="等线" w:hAnsi="Times New Roman"/>
          <w:color w:val="000000"/>
        </w:rPr>
        <w:t>Advised Clearlake Capital Group on its merger with Unifrax, included advising on PRC-related matters such as the preparation of the CSRC filings for an A-share listed company</w:t>
      </w:r>
    </w:p>
    <w:p w14:paraId="34145B59" w14:textId="77777777" w:rsidR="006515CF" w:rsidRDefault="006515CF" w:rsidP="006515CF">
      <w:pPr>
        <w:pStyle w:val="af5"/>
        <w:numPr>
          <w:ilvl w:val="0"/>
          <w:numId w:val="11"/>
        </w:numPr>
        <w:spacing w:before="120"/>
        <w:ind w:left="690" w:hanging="240"/>
        <w:rPr>
          <w:rFonts w:ascii="等线" w:eastAsia="等线" w:hAnsi="Times New Roman"/>
          <w:color w:val="000000"/>
        </w:rPr>
      </w:pPr>
      <w:r w:rsidRPr="006515CF">
        <w:rPr>
          <w:rFonts w:ascii="等线" w:eastAsia="等线" w:hAnsi="Times New Roman"/>
          <w:color w:val="000000"/>
        </w:rPr>
        <w:t>Advised JD.com on its merger of its O2O business JD Daojia with Dada Nexus</w:t>
      </w:r>
    </w:p>
    <w:p w14:paraId="5EB49268" w14:textId="77777777" w:rsidR="006515CF" w:rsidRDefault="006515CF" w:rsidP="006515CF">
      <w:pPr>
        <w:pStyle w:val="af5"/>
        <w:numPr>
          <w:ilvl w:val="0"/>
          <w:numId w:val="12"/>
        </w:numPr>
        <w:spacing w:before="120"/>
        <w:ind w:left="690" w:hanging="240"/>
        <w:rPr>
          <w:rFonts w:ascii="等线" w:eastAsia="等线" w:hAnsi="Times New Roman"/>
          <w:color w:val="000000"/>
        </w:rPr>
      </w:pPr>
      <w:r w:rsidRPr="006515CF">
        <w:rPr>
          <w:rFonts w:ascii="等线" w:eastAsia="等线" w:hAnsi="Times New Roman"/>
          <w:color w:val="000000"/>
        </w:rPr>
        <w:t>Advised Lactalis on its acquisition of 95% equity interests in a dairy products manufacturer</w:t>
      </w:r>
    </w:p>
    <w:p w14:paraId="7AD69226" w14:textId="77777777" w:rsidR="006515CF" w:rsidRDefault="006515CF" w:rsidP="006515CF">
      <w:pPr>
        <w:pStyle w:val="af5"/>
        <w:numPr>
          <w:ilvl w:val="0"/>
          <w:numId w:val="13"/>
        </w:numPr>
        <w:spacing w:before="120"/>
        <w:ind w:left="690" w:hanging="240"/>
        <w:rPr>
          <w:rFonts w:ascii="等线" w:eastAsia="等线" w:hAnsi="Times New Roman"/>
          <w:color w:val="000000"/>
        </w:rPr>
      </w:pPr>
      <w:r w:rsidRPr="006515CF">
        <w:rPr>
          <w:rFonts w:ascii="等线" w:eastAsia="等线" w:hAnsi="Times New Roman"/>
          <w:color w:val="000000"/>
        </w:rPr>
        <w:t>Advised Pactera Technology International on its USD 625 million privatization by a consortium led by Blackstone Group</w:t>
      </w:r>
    </w:p>
    <w:p w14:paraId="70D11C73" w14:textId="77777777" w:rsidR="006515CF" w:rsidRDefault="006515CF" w:rsidP="006515CF">
      <w:pPr>
        <w:pStyle w:val="af5"/>
        <w:numPr>
          <w:ilvl w:val="0"/>
          <w:numId w:val="14"/>
        </w:numPr>
        <w:spacing w:before="120"/>
        <w:ind w:left="690" w:hanging="240"/>
        <w:rPr>
          <w:rFonts w:ascii="等线" w:eastAsia="等线" w:hAnsi="Times New Roman"/>
          <w:color w:val="000000"/>
        </w:rPr>
      </w:pPr>
      <w:r w:rsidRPr="006515CF">
        <w:rPr>
          <w:rFonts w:ascii="等线" w:eastAsia="等线" w:hAnsi="Times New Roman"/>
          <w:color w:val="000000"/>
        </w:rPr>
        <w:t>Advised Perfect World on its USD 100 million acquisition of 30.3 million class A common shares of Shanda Games and its subsequent sale of the entire equity interest to Shanghai Buyout Fund for USD 104.6 million</w:t>
      </w:r>
    </w:p>
    <w:p w14:paraId="158CA2B9" w14:textId="77777777" w:rsidR="006515CF" w:rsidRDefault="006515CF" w:rsidP="006515CF">
      <w:pPr>
        <w:pStyle w:val="af5"/>
        <w:numPr>
          <w:ilvl w:val="0"/>
          <w:numId w:val="15"/>
        </w:numPr>
        <w:spacing w:before="120"/>
        <w:ind w:left="690" w:hanging="240"/>
        <w:rPr>
          <w:rFonts w:ascii="等线" w:eastAsia="等线" w:hAnsi="Times New Roman"/>
          <w:color w:val="000000"/>
        </w:rPr>
      </w:pPr>
      <w:r w:rsidRPr="006515CF">
        <w:rPr>
          <w:rFonts w:ascii="等线" w:eastAsia="等线" w:hAnsi="Times New Roman"/>
          <w:color w:val="000000"/>
        </w:rPr>
        <w:t>Advised Zhejiang Jiayuan Real Estate Group on its acquisition of Jiangsu Five Star Appliance from NYSE-listed Best Buy</w:t>
      </w:r>
    </w:p>
    <w:p w14:paraId="719B19C6" w14:textId="77777777" w:rsidR="006515CF" w:rsidRDefault="006515CF" w:rsidP="006515CF">
      <w:pPr>
        <w:pStyle w:val="af5"/>
        <w:numPr>
          <w:ilvl w:val="0"/>
          <w:numId w:val="16"/>
        </w:numPr>
        <w:spacing w:before="120"/>
        <w:ind w:left="690" w:hanging="240"/>
        <w:rPr>
          <w:rFonts w:ascii="等线" w:eastAsia="等线" w:hAnsi="Times New Roman"/>
          <w:color w:val="000000"/>
        </w:rPr>
      </w:pPr>
      <w:r w:rsidRPr="006515CF">
        <w:rPr>
          <w:rFonts w:ascii="等线" w:eastAsia="等线" w:hAnsi="Times New Roman"/>
          <w:color w:val="000000"/>
        </w:rPr>
        <w:t>Advised VanceInfo Technologies on its USD 875 million merger with hiSoft Technology Internationa</w:t>
      </w:r>
    </w:p>
    <w:p w14:paraId="406B13EA" w14:textId="77777777" w:rsidR="006515CF" w:rsidRDefault="006515CF" w:rsidP="006515CF">
      <w:pPr>
        <w:pStyle w:val="af5"/>
        <w:numPr>
          <w:ilvl w:val="0"/>
          <w:numId w:val="17"/>
        </w:numPr>
        <w:spacing w:before="120"/>
        <w:ind w:left="690" w:hanging="240"/>
        <w:rPr>
          <w:rFonts w:ascii="等线" w:eastAsia="等线" w:hAnsi="Times New Roman"/>
          <w:color w:val="000000"/>
        </w:rPr>
      </w:pPr>
      <w:r w:rsidRPr="006515CF">
        <w:rPr>
          <w:rFonts w:ascii="等线" w:eastAsia="等线" w:hAnsi="Times New Roman"/>
          <w:color w:val="000000"/>
        </w:rPr>
        <w:t>Advised MediaV Holding Company Limited on the sales of its controlling equity interests to Qihoo 360 Technology</w:t>
      </w:r>
    </w:p>
    <w:p w14:paraId="79B18A70" w14:textId="77777777" w:rsidR="006515CF" w:rsidRDefault="006515CF" w:rsidP="006515CF">
      <w:pPr>
        <w:pStyle w:val="af5"/>
        <w:numPr>
          <w:ilvl w:val="0"/>
          <w:numId w:val="18"/>
        </w:numPr>
        <w:spacing w:before="120"/>
        <w:ind w:left="690" w:hanging="240"/>
        <w:rPr>
          <w:rFonts w:ascii="等线" w:eastAsia="等线" w:hAnsi="Times New Roman"/>
          <w:color w:val="000000"/>
        </w:rPr>
      </w:pPr>
      <w:r w:rsidRPr="006515CF">
        <w:rPr>
          <w:rFonts w:ascii="等线" w:eastAsia="等线" w:hAnsi="Times New Roman"/>
          <w:color w:val="000000"/>
        </w:rPr>
        <w:t>Advised MediaV Holding Company Limited on its sale of an 85% equity stake in Shanghai Man Cool Advertising</w:t>
      </w:r>
    </w:p>
    <w:p w14:paraId="175603D6" w14:textId="77777777" w:rsidR="006515CF" w:rsidRDefault="006515CF" w:rsidP="006515CF">
      <w:pPr>
        <w:pStyle w:val="af5"/>
        <w:numPr>
          <w:ilvl w:val="0"/>
          <w:numId w:val="19"/>
        </w:numPr>
        <w:spacing w:before="120"/>
        <w:ind w:left="690" w:hanging="240"/>
        <w:rPr>
          <w:rFonts w:ascii="等线" w:eastAsia="等线" w:hAnsi="Times New Roman"/>
          <w:color w:val="000000"/>
        </w:rPr>
      </w:pPr>
      <w:r w:rsidRPr="006515CF">
        <w:rPr>
          <w:rFonts w:ascii="等线" w:eastAsia="等线" w:hAnsi="Times New Roman"/>
          <w:color w:val="000000"/>
        </w:rPr>
        <w:t>Advised Shanghai Dahuangfeng Technology on its sale of its entire equity interest to Kuaidi Taxi</w:t>
      </w:r>
    </w:p>
    <w:p w14:paraId="3A3CE1F7" w14:textId="77777777" w:rsidR="006515CF" w:rsidRDefault="006515CF" w:rsidP="006515CF">
      <w:pPr>
        <w:pStyle w:val="af5"/>
        <w:numPr>
          <w:ilvl w:val="0"/>
          <w:numId w:val="20"/>
        </w:numPr>
        <w:spacing w:before="120"/>
        <w:ind w:left="690" w:hanging="240"/>
        <w:rPr>
          <w:rFonts w:ascii="等线" w:eastAsia="等线" w:hAnsi="Times New Roman"/>
          <w:color w:val="000000"/>
        </w:rPr>
      </w:pPr>
      <w:r w:rsidRPr="006515CF">
        <w:rPr>
          <w:rFonts w:ascii="等线" w:eastAsia="等线" w:hAnsi="Times New Roman"/>
          <w:color w:val="000000"/>
        </w:rPr>
        <w:t>Advised Chairman and CEO of Sungy Mobile Limited (Mr. Yuqiang Deng) and the consortium that he formed on the USD 155 million privatization of the company</w:t>
      </w:r>
    </w:p>
    <w:p w14:paraId="606882A8" w14:textId="77777777" w:rsidR="006515CF" w:rsidRDefault="006515CF" w:rsidP="006515CF">
      <w:pPr>
        <w:pStyle w:val="af5"/>
        <w:spacing w:before="120"/>
        <w:rPr>
          <w:rFonts w:ascii="等线" w:eastAsia="等线" w:hAnsi="Times New Roman"/>
          <w:color w:val="000000"/>
        </w:rPr>
      </w:pPr>
      <w:r w:rsidRPr="006515CF">
        <w:rPr>
          <w:rFonts w:ascii="等线" w:eastAsia="等线" w:hAnsi="Times New Roman"/>
          <w:color w:val="000000"/>
        </w:rPr>
        <w:t>Other Representative Transactions*</w:t>
      </w:r>
    </w:p>
    <w:p w14:paraId="2D6B7FB9" w14:textId="77777777" w:rsidR="006515CF" w:rsidRDefault="006515CF" w:rsidP="006515CF">
      <w:pPr>
        <w:pStyle w:val="af5"/>
        <w:numPr>
          <w:ilvl w:val="0"/>
          <w:numId w:val="21"/>
        </w:numPr>
        <w:spacing w:before="120"/>
        <w:ind w:left="690" w:hanging="240"/>
        <w:rPr>
          <w:rFonts w:ascii="等线" w:eastAsia="等线" w:hAnsi="Times New Roman"/>
          <w:color w:val="000000"/>
        </w:rPr>
      </w:pPr>
      <w:r w:rsidRPr="006515CF">
        <w:rPr>
          <w:rFonts w:ascii="等线" w:eastAsia="等线" w:hAnsi="Times New Roman"/>
          <w:color w:val="000000"/>
        </w:rPr>
        <w:t>Advised XtalPi as its PRC counsel in connection with its listing on the Main Board, Hong Kong Stock Exchange (this listing is the first one listed on HKEx in accordance with Chaper 18C of the Hong Kong Listing Rules)</w:t>
      </w:r>
    </w:p>
    <w:p w14:paraId="1F9EAB82" w14:textId="77777777" w:rsidR="006515CF" w:rsidRDefault="006515CF" w:rsidP="006515CF">
      <w:pPr>
        <w:pStyle w:val="af5"/>
        <w:numPr>
          <w:ilvl w:val="0"/>
          <w:numId w:val="22"/>
        </w:numPr>
        <w:spacing w:before="120"/>
        <w:ind w:left="690" w:hanging="240"/>
        <w:rPr>
          <w:rFonts w:ascii="等线" w:eastAsia="等线" w:hAnsi="Times New Roman"/>
          <w:color w:val="000000"/>
        </w:rPr>
      </w:pPr>
      <w:r w:rsidRPr="006515CF">
        <w:rPr>
          <w:rFonts w:ascii="等线" w:eastAsia="等线" w:hAnsi="Times New Roman"/>
          <w:color w:val="000000"/>
        </w:rPr>
        <w:t>Advised XtalPi as its PRC Counsel in connection with two follow-on offering transactions</w:t>
      </w:r>
    </w:p>
    <w:p w14:paraId="58A15EDC" w14:textId="77777777" w:rsidR="006515CF" w:rsidRDefault="006515CF" w:rsidP="006515CF">
      <w:pPr>
        <w:pStyle w:val="af5"/>
        <w:numPr>
          <w:ilvl w:val="0"/>
          <w:numId w:val="23"/>
        </w:numPr>
        <w:spacing w:before="120"/>
        <w:ind w:left="690" w:hanging="240"/>
        <w:rPr>
          <w:rFonts w:ascii="等线" w:eastAsia="等线" w:hAnsi="Times New Roman"/>
          <w:color w:val="000000"/>
        </w:rPr>
      </w:pPr>
      <w:r w:rsidRPr="006515CF">
        <w:rPr>
          <w:rFonts w:ascii="等线" w:eastAsia="等线" w:hAnsi="Times New Roman"/>
          <w:color w:val="000000"/>
        </w:rPr>
        <w:t>Advised XtalPi in connection with two collaboration transactions with Experimental Drug Development Centre (an institution sponsored by the Singapore government) and CK Life Science (a HK listed company with the primary business focusing on the R&amp;D and sales of healthcare products and pharmaceutical products)</w:t>
      </w:r>
    </w:p>
    <w:p w14:paraId="5260EA53" w14:textId="77777777" w:rsidR="006515CF" w:rsidRDefault="006515CF" w:rsidP="006515CF">
      <w:pPr>
        <w:pStyle w:val="af5"/>
        <w:numPr>
          <w:ilvl w:val="0"/>
          <w:numId w:val="24"/>
        </w:numPr>
        <w:spacing w:before="120"/>
        <w:ind w:left="690" w:hanging="240"/>
        <w:rPr>
          <w:rFonts w:ascii="等线" w:eastAsia="等线" w:hAnsi="Times New Roman"/>
          <w:color w:val="000000"/>
        </w:rPr>
      </w:pPr>
      <w:r w:rsidRPr="006515CF">
        <w:rPr>
          <w:rFonts w:ascii="等线" w:eastAsia="等线" w:hAnsi="Times New Roman"/>
          <w:color w:val="000000"/>
        </w:rPr>
        <w:t>Advised MicroPort on its: 1. Series B and Series C financing for its cardiac rhythm business; 2. Series A and Series B financing for its robotics business; 3. convertible note financing and cross-border restructuring for its neurotech business; 4. investment in Rapid (an Isreali medical device company) in connection with its Series D financing; 5. Advised MicroPort on its controlling stake acquisition of Argus Scientific; and 6. strategic equity financing for its urology and digestive business</w:t>
      </w:r>
    </w:p>
    <w:p w14:paraId="29ADA110" w14:textId="77777777" w:rsidR="006515CF" w:rsidRDefault="006515CF" w:rsidP="006515CF">
      <w:pPr>
        <w:pStyle w:val="af5"/>
        <w:numPr>
          <w:ilvl w:val="0"/>
          <w:numId w:val="25"/>
        </w:numPr>
        <w:spacing w:before="120"/>
        <w:ind w:left="690" w:hanging="240"/>
        <w:rPr>
          <w:rFonts w:ascii="等线" w:eastAsia="等线" w:hAnsi="Times New Roman"/>
          <w:color w:val="000000"/>
        </w:rPr>
      </w:pPr>
      <w:r w:rsidRPr="006515CF">
        <w:rPr>
          <w:rFonts w:ascii="等线" w:eastAsia="等线" w:hAnsi="Times New Roman"/>
          <w:color w:val="000000"/>
        </w:rPr>
        <w:t>Advised MediTrust Health (an innovative healthcare service platform) in connection with its equity financing involving an aggregate investment amount of RMB 2 billion and its Series C+ round equity financing with the investment made by HSBC</w:t>
      </w:r>
    </w:p>
    <w:p w14:paraId="0F87168E" w14:textId="77777777" w:rsidR="006515CF" w:rsidRDefault="006515CF" w:rsidP="006515CF">
      <w:pPr>
        <w:pStyle w:val="af5"/>
        <w:numPr>
          <w:ilvl w:val="0"/>
          <w:numId w:val="26"/>
        </w:numPr>
        <w:spacing w:before="120"/>
        <w:ind w:left="690" w:hanging="240"/>
        <w:rPr>
          <w:rFonts w:ascii="等线" w:eastAsia="等线" w:hAnsi="Times New Roman"/>
          <w:color w:val="000000"/>
        </w:rPr>
      </w:pPr>
      <w:r w:rsidRPr="006515CF">
        <w:rPr>
          <w:rFonts w:ascii="等线" w:eastAsia="等线" w:hAnsi="Times New Roman"/>
          <w:color w:val="000000"/>
        </w:rPr>
        <w:t>Advised AstraZeneca-CICC on its investment in ZSHK Holding Limited in connection with its Series B round equity financing</w:t>
      </w:r>
    </w:p>
    <w:p w14:paraId="6FBE314D" w14:textId="77777777" w:rsidR="006515CF" w:rsidRDefault="006515CF" w:rsidP="006515CF">
      <w:pPr>
        <w:pStyle w:val="af5"/>
        <w:numPr>
          <w:ilvl w:val="0"/>
          <w:numId w:val="27"/>
        </w:numPr>
        <w:spacing w:before="120"/>
        <w:ind w:left="690" w:hanging="240"/>
        <w:rPr>
          <w:rFonts w:ascii="等线" w:eastAsia="等线" w:hAnsi="Times New Roman"/>
          <w:color w:val="000000"/>
        </w:rPr>
      </w:pPr>
      <w:r w:rsidRPr="006515CF">
        <w:rPr>
          <w:rFonts w:ascii="等线" w:eastAsia="等线" w:hAnsi="Times New Roman"/>
          <w:color w:val="000000"/>
        </w:rPr>
        <w:t>Advised Kyowa Kirin, a global leading R&amp;D company for innovative drugs, for a series of asset restructuring arrangements with Winhealth, including its five established brands in China to be transferred to a special-purpose company with a transfer price of up to RMB 720 million</w:t>
      </w:r>
    </w:p>
    <w:p w14:paraId="27DAB9A9" w14:textId="77777777" w:rsidR="006515CF" w:rsidRDefault="006515CF" w:rsidP="006515CF">
      <w:pPr>
        <w:pStyle w:val="af5"/>
        <w:numPr>
          <w:ilvl w:val="0"/>
          <w:numId w:val="28"/>
        </w:numPr>
        <w:spacing w:before="120"/>
        <w:ind w:left="690" w:hanging="240"/>
        <w:rPr>
          <w:rFonts w:ascii="等线" w:eastAsia="等线" w:hAnsi="Times New Roman"/>
          <w:color w:val="000000"/>
        </w:rPr>
      </w:pPr>
      <w:r w:rsidRPr="006515CF">
        <w:rPr>
          <w:rFonts w:ascii="等线" w:eastAsia="等线" w:hAnsi="Times New Roman"/>
          <w:color w:val="000000"/>
        </w:rPr>
        <w:t>Advised QST (a leading multi-sensor platform) in connection with several onshore and offshore investment in censor and solutions industry</w:t>
      </w:r>
    </w:p>
    <w:p w14:paraId="019F8F91" w14:textId="77777777" w:rsidR="006515CF" w:rsidRDefault="006515CF" w:rsidP="006515CF">
      <w:pPr>
        <w:pStyle w:val="af5"/>
        <w:numPr>
          <w:ilvl w:val="0"/>
          <w:numId w:val="29"/>
        </w:numPr>
        <w:spacing w:before="120"/>
        <w:ind w:left="690" w:hanging="240"/>
        <w:rPr>
          <w:rFonts w:ascii="等线" w:eastAsia="等线" w:hAnsi="Times New Roman"/>
          <w:color w:val="000000"/>
        </w:rPr>
      </w:pPr>
      <w:r w:rsidRPr="006515CF">
        <w:rPr>
          <w:rFonts w:ascii="等线" w:eastAsia="等线" w:hAnsi="Times New Roman"/>
          <w:color w:val="000000"/>
        </w:rPr>
        <w:t>Advised PAG on its USD 2.8 billion pre-IPO investment in Wanda Commercial Management and a consortium led by PAG to further invest in Wanda Commercial Management</w:t>
      </w:r>
    </w:p>
    <w:p w14:paraId="22A5DC46" w14:textId="77777777" w:rsidR="006515CF" w:rsidRDefault="006515CF" w:rsidP="006515CF">
      <w:pPr>
        <w:pStyle w:val="af5"/>
        <w:numPr>
          <w:ilvl w:val="0"/>
          <w:numId w:val="30"/>
        </w:numPr>
        <w:spacing w:before="120"/>
        <w:ind w:left="690" w:hanging="240"/>
        <w:rPr>
          <w:rFonts w:ascii="等线" w:eastAsia="等线" w:hAnsi="Times New Roman"/>
          <w:color w:val="000000"/>
        </w:rPr>
      </w:pPr>
      <w:r w:rsidRPr="006515CF">
        <w:rPr>
          <w:rFonts w:ascii="等线" w:eastAsia="等线" w:hAnsi="Times New Roman"/>
          <w:color w:val="000000"/>
        </w:rPr>
        <w:t>Advised TPG on its investment in Arkbio Sciences, a drug research and development company</w:t>
      </w:r>
    </w:p>
    <w:p w14:paraId="7D4F2ED3" w14:textId="77777777" w:rsidR="006515CF" w:rsidRDefault="006515CF" w:rsidP="006515CF">
      <w:pPr>
        <w:pStyle w:val="af5"/>
        <w:numPr>
          <w:ilvl w:val="0"/>
          <w:numId w:val="31"/>
        </w:numPr>
        <w:spacing w:before="120"/>
        <w:ind w:left="690" w:hanging="240"/>
        <w:rPr>
          <w:rFonts w:ascii="等线" w:eastAsia="等线" w:hAnsi="Times New Roman"/>
          <w:color w:val="000000"/>
        </w:rPr>
      </w:pPr>
      <w:r w:rsidRPr="006515CF">
        <w:rPr>
          <w:rFonts w:ascii="等线" w:eastAsia="等线" w:hAnsi="Times New Roman"/>
          <w:color w:val="000000"/>
        </w:rPr>
        <w:t>Advised Yunfeng on its Series A investment in Didi Freight</w:t>
      </w:r>
    </w:p>
    <w:p w14:paraId="78FA32CE" w14:textId="77777777" w:rsidR="006515CF" w:rsidRDefault="006515CF" w:rsidP="006515CF">
      <w:pPr>
        <w:pStyle w:val="af5"/>
        <w:numPr>
          <w:ilvl w:val="0"/>
          <w:numId w:val="32"/>
        </w:numPr>
        <w:spacing w:before="120"/>
        <w:ind w:left="690" w:hanging="240"/>
        <w:rPr>
          <w:rFonts w:ascii="等线" w:eastAsia="等线" w:hAnsi="Times New Roman"/>
          <w:color w:val="000000"/>
        </w:rPr>
      </w:pPr>
      <w:r w:rsidRPr="006515CF">
        <w:rPr>
          <w:rFonts w:ascii="等线" w:eastAsia="等线" w:hAnsi="Times New Roman"/>
          <w:color w:val="000000"/>
        </w:rPr>
        <w:t>Advised IDG on its investments in a company engaging in bitcoin business in Japan and its subsequent full exit</w:t>
      </w:r>
    </w:p>
    <w:p w14:paraId="0C0F1ED1" w14:textId="77777777" w:rsidR="006515CF" w:rsidRDefault="006515CF" w:rsidP="006515CF">
      <w:pPr>
        <w:pStyle w:val="af5"/>
        <w:numPr>
          <w:ilvl w:val="0"/>
          <w:numId w:val="33"/>
        </w:numPr>
        <w:spacing w:before="120"/>
        <w:ind w:left="690" w:hanging="240"/>
        <w:rPr>
          <w:rFonts w:ascii="等线" w:eastAsia="等线" w:hAnsi="Times New Roman"/>
          <w:color w:val="000000"/>
        </w:rPr>
      </w:pPr>
      <w:r w:rsidRPr="006515CF">
        <w:rPr>
          <w:rFonts w:ascii="等线" w:eastAsia="等线" w:hAnsi="Times New Roman"/>
          <w:color w:val="000000"/>
        </w:rPr>
        <w:t>Advised Aptar in its minority investment in an online cosmetics sales company</w:t>
      </w:r>
    </w:p>
    <w:p w14:paraId="4D25DBE5" w14:textId="77777777" w:rsidR="006515CF" w:rsidRDefault="006515CF" w:rsidP="006515CF">
      <w:pPr>
        <w:pStyle w:val="af5"/>
        <w:numPr>
          <w:ilvl w:val="0"/>
          <w:numId w:val="34"/>
        </w:numPr>
        <w:spacing w:before="120"/>
        <w:ind w:left="690" w:hanging="240"/>
        <w:rPr>
          <w:rFonts w:ascii="等线" w:eastAsia="等线" w:hAnsi="Times New Roman"/>
          <w:color w:val="000000"/>
        </w:rPr>
      </w:pPr>
      <w:r w:rsidRPr="006515CF">
        <w:rPr>
          <w:rFonts w:ascii="等线" w:eastAsia="等线" w:hAnsi="Times New Roman"/>
          <w:color w:val="000000"/>
        </w:rPr>
        <w:t>Advised GGV on its cross-border restructuring of Geek+</w:t>
      </w:r>
    </w:p>
    <w:p w14:paraId="19EA6144" w14:textId="77777777" w:rsidR="006515CF" w:rsidRDefault="006515CF" w:rsidP="006515CF">
      <w:pPr>
        <w:pStyle w:val="af5"/>
        <w:numPr>
          <w:ilvl w:val="0"/>
          <w:numId w:val="35"/>
        </w:numPr>
        <w:spacing w:before="120"/>
        <w:ind w:left="690" w:hanging="240"/>
        <w:rPr>
          <w:rFonts w:ascii="等线" w:eastAsia="等线" w:hAnsi="Times New Roman"/>
          <w:color w:val="000000"/>
        </w:rPr>
      </w:pPr>
      <w:r w:rsidRPr="006515CF">
        <w:rPr>
          <w:rFonts w:ascii="等线" w:eastAsia="等线" w:hAnsi="Times New Roman"/>
          <w:color w:val="000000"/>
        </w:rPr>
        <w:t>Advised JD.com on its USD 1.5 billion strategic alliance with Walmart</w:t>
      </w:r>
    </w:p>
    <w:p w14:paraId="316CD905" w14:textId="77777777" w:rsidR="006515CF" w:rsidRDefault="006515CF" w:rsidP="006515CF">
      <w:pPr>
        <w:pStyle w:val="af5"/>
        <w:numPr>
          <w:ilvl w:val="0"/>
          <w:numId w:val="36"/>
        </w:numPr>
        <w:spacing w:before="120"/>
        <w:ind w:left="690" w:hanging="240"/>
        <w:rPr>
          <w:rFonts w:ascii="等线" w:eastAsia="等线" w:hAnsi="Times New Roman"/>
          <w:color w:val="000000"/>
        </w:rPr>
      </w:pPr>
      <w:r w:rsidRPr="006515CF">
        <w:rPr>
          <w:rFonts w:ascii="等线" w:eastAsia="等线" w:hAnsi="Times New Roman"/>
          <w:color w:val="000000"/>
        </w:rPr>
        <w:t>Advised JD Logistics on its USD 2.5 billion financing from various leading investors in China</w:t>
      </w:r>
    </w:p>
    <w:p w14:paraId="15F8E9D9" w14:textId="77777777" w:rsidR="006515CF" w:rsidRDefault="006515CF" w:rsidP="006515CF">
      <w:pPr>
        <w:pStyle w:val="af5"/>
        <w:numPr>
          <w:ilvl w:val="0"/>
          <w:numId w:val="37"/>
        </w:numPr>
        <w:spacing w:before="120"/>
        <w:ind w:left="690" w:hanging="240"/>
        <w:rPr>
          <w:rFonts w:ascii="等线" w:eastAsia="等线" w:hAnsi="Times New Roman"/>
          <w:color w:val="000000"/>
        </w:rPr>
      </w:pPr>
      <w:r w:rsidRPr="006515CF">
        <w:rPr>
          <w:rFonts w:ascii="等线" w:eastAsia="等线" w:hAnsi="Times New Roman"/>
          <w:color w:val="000000"/>
        </w:rPr>
        <w:t>Advised China Media Capital on its investments in several media and entertainment companies, including its Series D investment in Bilibili</w:t>
      </w:r>
    </w:p>
    <w:p w14:paraId="5C18419C" w14:textId="77777777" w:rsidR="006515CF" w:rsidRDefault="006515CF" w:rsidP="006515CF">
      <w:pPr>
        <w:pStyle w:val="af5"/>
        <w:numPr>
          <w:ilvl w:val="0"/>
          <w:numId w:val="38"/>
        </w:numPr>
        <w:spacing w:before="120"/>
        <w:ind w:left="690" w:hanging="240"/>
        <w:rPr>
          <w:rFonts w:ascii="等线" w:eastAsia="等线" w:hAnsi="Times New Roman"/>
          <w:color w:val="000000"/>
        </w:rPr>
      </w:pPr>
      <w:r w:rsidRPr="006515CF">
        <w:rPr>
          <w:rFonts w:ascii="等线" w:eastAsia="等线" w:hAnsi="Times New Roman"/>
          <w:color w:val="000000"/>
        </w:rPr>
        <w:t>Advised a leading private equity fund on its cross-border restructuring and equity purchase transaction of a US-based toy manufacturer</w:t>
      </w:r>
    </w:p>
    <w:p w14:paraId="33A18747" w14:textId="77777777" w:rsidR="006515CF" w:rsidRDefault="006515CF" w:rsidP="006515CF">
      <w:pPr>
        <w:pStyle w:val="af5"/>
        <w:numPr>
          <w:ilvl w:val="0"/>
          <w:numId w:val="39"/>
        </w:numPr>
        <w:spacing w:before="120"/>
        <w:ind w:left="690" w:hanging="240"/>
        <w:rPr>
          <w:rFonts w:ascii="等线" w:eastAsia="等线" w:hAnsi="Times New Roman"/>
          <w:color w:val="000000"/>
        </w:rPr>
      </w:pPr>
      <w:r w:rsidRPr="006515CF">
        <w:rPr>
          <w:rFonts w:ascii="等线" w:eastAsia="等线" w:hAnsi="Times New Roman"/>
          <w:color w:val="000000"/>
        </w:rPr>
        <w:t>Advised a leading sports marketing company in China on its minority stake investment in a company engaging in the operation and organization of Formula E races</w:t>
      </w:r>
    </w:p>
    <w:p w14:paraId="6822439E" w14:textId="77777777" w:rsidR="006515CF" w:rsidRDefault="006515CF" w:rsidP="006515CF">
      <w:pPr>
        <w:pStyle w:val="af5"/>
        <w:numPr>
          <w:ilvl w:val="0"/>
          <w:numId w:val="40"/>
        </w:numPr>
        <w:spacing w:before="120"/>
        <w:ind w:left="690" w:hanging="240"/>
        <w:rPr>
          <w:rFonts w:ascii="等线" w:eastAsia="等线" w:hAnsi="Times New Roman"/>
          <w:color w:val="000000"/>
        </w:rPr>
      </w:pPr>
      <w:r w:rsidRPr="006515CF">
        <w:rPr>
          <w:rFonts w:ascii="等线" w:eastAsia="等线" w:hAnsi="Times New Roman"/>
          <w:color w:val="000000"/>
        </w:rPr>
        <w:t>Advised a leading private equity fund on its USD 100 million investment in a vegetable logistics company</w:t>
      </w:r>
    </w:p>
    <w:p w14:paraId="6EAB1E64" w14:textId="77777777" w:rsidR="006515CF" w:rsidRDefault="006515CF" w:rsidP="006515CF">
      <w:pPr>
        <w:pStyle w:val="af5"/>
        <w:numPr>
          <w:ilvl w:val="0"/>
          <w:numId w:val="41"/>
        </w:numPr>
        <w:spacing w:before="120"/>
        <w:ind w:left="690" w:hanging="240"/>
        <w:rPr>
          <w:rFonts w:ascii="等线" w:eastAsia="等线" w:hAnsi="Times New Roman"/>
          <w:color w:val="000000"/>
        </w:rPr>
      </w:pPr>
      <w:r w:rsidRPr="006515CF">
        <w:rPr>
          <w:rFonts w:ascii="等线" w:eastAsia="等线" w:hAnsi="Times New Roman"/>
          <w:color w:val="000000"/>
        </w:rPr>
        <w:t>Advised Heng Rui Xin Energy on its acquisition of an 19.9% stake in LDK Solar</w:t>
      </w:r>
    </w:p>
    <w:p w14:paraId="2B5D2C51" w14:textId="77777777" w:rsidR="006515CF" w:rsidRDefault="006515CF" w:rsidP="006515CF">
      <w:pPr>
        <w:pStyle w:val="af5"/>
        <w:numPr>
          <w:ilvl w:val="0"/>
          <w:numId w:val="42"/>
        </w:numPr>
        <w:spacing w:before="120"/>
        <w:ind w:left="690" w:hanging="240"/>
        <w:rPr>
          <w:rFonts w:ascii="等线" w:eastAsia="等线" w:hAnsi="Times New Roman"/>
          <w:color w:val="000000"/>
        </w:rPr>
      </w:pPr>
      <w:r w:rsidRPr="006515CF">
        <w:rPr>
          <w:rFonts w:ascii="等线" w:eastAsia="等线" w:hAnsi="Times New Roman"/>
          <w:color w:val="000000"/>
        </w:rPr>
        <w:t>Advised Samena on its investment in several kindergartens in China   *Includes clients and transactions before Mr. Lu joined Fangda Partners.</w:t>
      </w:r>
    </w:p>
    <w:p w14:paraId="6A7D3887" w14:textId="77777777" w:rsidR="006515CF" w:rsidRDefault="006515CF" w:rsidP="006515CF">
      <w:pPr>
        <w:pStyle w:val="af5"/>
        <w:spacing w:after="0" w:line="480" w:lineRule="auto"/>
        <w:rPr>
          <w:rFonts w:ascii="等线" w:eastAsia="等线" w:hAnsi="等线"/>
          <w:b/>
          <w:sz w:val="24"/>
        </w:rPr>
      </w:pPr>
      <w:r w:rsidRPr="006515CF">
        <w:rPr>
          <w:rFonts w:ascii="等线" w:eastAsia="等线" w:hAnsi="等线"/>
          <w:b/>
          <w:sz w:val="24"/>
        </w:rPr>
        <w:t>Education</w:t>
      </w:r>
    </w:p>
    <w:p w14:paraId="036B27F4" w14:textId="77777777" w:rsidR="006515CF" w:rsidRDefault="006515CF" w:rsidP="006515CF">
      <w:pPr>
        <w:pStyle w:val="af5"/>
        <w:numPr>
          <w:ilvl w:val="0"/>
          <w:numId w:val="43"/>
        </w:numPr>
        <w:spacing w:before="120"/>
        <w:ind w:left="690" w:hanging="240"/>
        <w:rPr>
          <w:rFonts w:ascii="等线" w:eastAsia="等线" w:hAnsi="Times New Roman"/>
          <w:color w:val="000000"/>
        </w:rPr>
      </w:pPr>
      <w:r w:rsidRPr="006515CF">
        <w:rPr>
          <w:rFonts w:ascii="等线" w:eastAsia="等线" w:hAnsi="Times New Roman"/>
          <w:color w:val="000000"/>
        </w:rPr>
        <w:t>Fudan University, LL.B</w:t>
      </w:r>
    </w:p>
    <w:p w14:paraId="554C54BD" w14:textId="77777777" w:rsidR="006515CF" w:rsidRDefault="006515CF" w:rsidP="006515CF">
      <w:pPr>
        <w:pStyle w:val="af5"/>
        <w:numPr>
          <w:ilvl w:val="0"/>
          <w:numId w:val="44"/>
        </w:numPr>
        <w:spacing w:before="120"/>
        <w:ind w:left="690" w:hanging="240"/>
        <w:rPr>
          <w:rFonts w:ascii="等线" w:eastAsia="等线" w:hAnsi="Times New Roman"/>
          <w:color w:val="000000"/>
        </w:rPr>
      </w:pPr>
      <w:r w:rsidRPr="006515CF">
        <w:rPr>
          <w:rFonts w:ascii="等线" w:eastAsia="等线" w:hAnsi="Times New Roman"/>
          <w:color w:val="000000"/>
        </w:rPr>
        <w:t>Fudan University, LL.M</w:t>
      </w:r>
    </w:p>
    <w:p w14:paraId="775807D8" w14:textId="77777777" w:rsidR="006515CF" w:rsidRDefault="006515CF" w:rsidP="006515CF">
      <w:pPr>
        <w:pStyle w:val="af5"/>
        <w:spacing w:after="0" w:line="480" w:lineRule="auto"/>
        <w:rPr>
          <w:rFonts w:ascii="等线" w:eastAsia="等线" w:hAnsi="等线"/>
          <w:b/>
          <w:sz w:val="24"/>
        </w:rPr>
      </w:pPr>
      <w:r w:rsidRPr="006515CF">
        <w:rPr>
          <w:rFonts w:ascii="等线" w:eastAsia="等线" w:hAnsi="等线"/>
          <w:b/>
          <w:sz w:val="24"/>
        </w:rPr>
        <w:t>Professional Qualification</w:t>
      </w:r>
    </w:p>
    <w:p w14:paraId="488D6543" w14:textId="77777777" w:rsidR="006515CF" w:rsidRDefault="006515CF" w:rsidP="006515CF">
      <w:pPr>
        <w:pStyle w:val="af5"/>
        <w:numPr>
          <w:ilvl w:val="0"/>
          <w:numId w:val="45"/>
        </w:numPr>
        <w:spacing w:before="120"/>
        <w:ind w:left="690" w:hanging="240"/>
        <w:rPr>
          <w:rFonts w:ascii="等线" w:eastAsia="等线" w:hAnsi="Times New Roman"/>
          <w:color w:val="000000"/>
        </w:rPr>
      </w:pPr>
      <w:r w:rsidRPr="006515CF">
        <w:rPr>
          <w:rFonts w:ascii="等线" w:eastAsia="等线" w:hAnsi="Times New Roman"/>
          <w:color w:val="000000"/>
        </w:rPr>
        <w:t>Admitted to practice in the PRC</w:t>
      </w:r>
    </w:p>
    <w:p w14:paraId="03664DE6" w14:textId="77777777" w:rsidR="006515CF" w:rsidRDefault="006515CF" w:rsidP="006515CF">
      <w:pPr>
        <w:pStyle w:val="af5"/>
        <w:spacing w:after="0" w:line="480" w:lineRule="auto"/>
        <w:rPr>
          <w:rFonts w:ascii="等线" w:eastAsia="等线" w:hAnsi="等线"/>
          <w:b/>
          <w:sz w:val="24"/>
        </w:rPr>
      </w:pPr>
      <w:r w:rsidRPr="006515CF">
        <w:rPr>
          <w:rFonts w:ascii="等线" w:eastAsia="等线" w:hAnsi="等线"/>
          <w:b/>
          <w:sz w:val="24"/>
        </w:rPr>
        <w:t>Work Language</w:t>
      </w:r>
    </w:p>
    <w:p w14:paraId="0EC15A78" w14:textId="77777777" w:rsidR="006515CF" w:rsidRDefault="006515CF" w:rsidP="006515CF">
      <w:pPr>
        <w:pStyle w:val="af5"/>
        <w:numPr>
          <w:ilvl w:val="0"/>
          <w:numId w:val="46"/>
        </w:numPr>
        <w:spacing w:before="120"/>
        <w:ind w:left="690" w:hanging="240"/>
        <w:rPr>
          <w:rFonts w:ascii="等线" w:eastAsia="等线" w:hAnsi="Times New Roman"/>
          <w:color w:val="000000"/>
        </w:rPr>
      </w:pPr>
      <w:r w:rsidRPr="006515CF">
        <w:rPr>
          <w:rFonts w:ascii="等线" w:eastAsia="等线" w:hAnsi="Times New Roman"/>
          <w:color w:val="000000"/>
        </w:rPr>
        <w:t>Mandarin</w:t>
      </w:r>
    </w:p>
    <w:p w14:paraId="70C459B8" w14:textId="77777777" w:rsidR="006515CF" w:rsidRDefault="006515CF" w:rsidP="006515CF">
      <w:pPr>
        <w:pStyle w:val="af5"/>
        <w:numPr>
          <w:ilvl w:val="0"/>
          <w:numId w:val="47"/>
        </w:numPr>
        <w:spacing w:before="120"/>
        <w:ind w:left="690" w:hanging="240"/>
        <w:rPr>
          <w:rFonts w:ascii="等线" w:eastAsia="等线" w:hAnsi="Times New Roman"/>
          <w:color w:val="000000"/>
        </w:rPr>
      </w:pPr>
      <w:r w:rsidRPr="006515CF">
        <w:rPr>
          <w:rFonts w:ascii="等线" w:eastAsia="等线" w:hAnsi="Times New Roman"/>
          <w:color w:val="000000"/>
        </w:rPr>
        <w:t>English</w:t>
      </w:r>
    </w:p>
    <w:p w14:paraId="2B901D28" w14:textId="77777777" w:rsidR="006515CF" w:rsidRDefault="006515CF" w:rsidP="006515CF">
      <w:pPr>
        <w:pStyle w:val="af5"/>
        <w:spacing w:after="0" w:line="480" w:lineRule="auto"/>
        <w:rPr>
          <w:rFonts w:ascii="等线" w:eastAsia="等线" w:hAnsi="等线"/>
          <w:b/>
          <w:sz w:val="24"/>
        </w:rPr>
      </w:pPr>
      <w:r w:rsidRPr="006515CF">
        <w:rPr>
          <w:rFonts w:ascii="等线" w:eastAsia="等线" w:hAnsi="等线"/>
          <w:b/>
          <w:sz w:val="24"/>
        </w:rPr>
        <w:t>Professional Background</w:t>
      </w:r>
    </w:p>
    <w:p w14:paraId="5567FC3C" w14:textId="52BB4CD7" w:rsidR="00686369" w:rsidRPr="006515CF" w:rsidRDefault="006515CF" w:rsidP="006515CF">
      <w:pPr>
        <w:pStyle w:val="af5"/>
        <w:numPr>
          <w:ilvl w:val="0"/>
          <w:numId w:val="48"/>
        </w:numPr>
        <w:spacing w:before="120"/>
        <w:ind w:left="690" w:hanging="240"/>
        <w:rPr>
          <w:rFonts w:ascii="等线" w:eastAsia="等线" w:hAnsi="Times New Roman"/>
          <w:color w:val="000000"/>
        </w:rPr>
      </w:pPr>
      <w:r w:rsidRPr="006515CF">
        <w:rPr>
          <w:rFonts w:ascii="等线" w:eastAsia="等线" w:hAnsi="Times New Roman"/>
          <w:color w:val="000000"/>
        </w:rPr>
        <w:t>Mr. Lu joined Fangda Partners in 2018. Before joining the firm, he worked at Orrick, Herrington &amp; Sutcliffe LLP. He has also worked as a seconded attorney at an international private equity fund.</w:t>
      </w:r>
    </w:p>
    <w:sectPr w:rsidR="00686369" w:rsidRPr="006515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3AB7"/>
    <w:multiLevelType w:val="singleLevel"/>
    <w:tmpl w:val="ECFC36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A485B"/>
    <w:multiLevelType w:val="singleLevel"/>
    <w:tmpl w:val="2AF6A1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46E81"/>
    <w:multiLevelType w:val="singleLevel"/>
    <w:tmpl w:val="8348C1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BD7E4E"/>
    <w:multiLevelType w:val="singleLevel"/>
    <w:tmpl w:val="004841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8C66C0"/>
    <w:multiLevelType w:val="singleLevel"/>
    <w:tmpl w:val="7472D4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776DE6"/>
    <w:multiLevelType w:val="singleLevel"/>
    <w:tmpl w:val="62326F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820A0C"/>
    <w:multiLevelType w:val="singleLevel"/>
    <w:tmpl w:val="8E48D4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C42E74"/>
    <w:multiLevelType w:val="singleLevel"/>
    <w:tmpl w:val="48EC1E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8335B3"/>
    <w:multiLevelType w:val="singleLevel"/>
    <w:tmpl w:val="F1E8EB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60702C"/>
    <w:multiLevelType w:val="singleLevel"/>
    <w:tmpl w:val="C95E9F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F76C6D"/>
    <w:multiLevelType w:val="singleLevel"/>
    <w:tmpl w:val="705626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ED3C50"/>
    <w:multiLevelType w:val="singleLevel"/>
    <w:tmpl w:val="732CD8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3774BB"/>
    <w:multiLevelType w:val="singleLevel"/>
    <w:tmpl w:val="D92024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081A83"/>
    <w:multiLevelType w:val="singleLevel"/>
    <w:tmpl w:val="613EE2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1534B7"/>
    <w:multiLevelType w:val="singleLevel"/>
    <w:tmpl w:val="90F6AB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0B09C5"/>
    <w:multiLevelType w:val="singleLevel"/>
    <w:tmpl w:val="3B3272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5A2D6F"/>
    <w:multiLevelType w:val="singleLevel"/>
    <w:tmpl w:val="E104DB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15F4CFA"/>
    <w:multiLevelType w:val="singleLevel"/>
    <w:tmpl w:val="4D9821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84525B"/>
    <w:multiLevelType w:val="singleLevel"/>
    <w:tmpl w:val="AE5ED9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B80BC3"/>
    <w:multiLevelType w:val="singleLevel"/>
    <w:tmpl w:val="1C4C15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BD4E10"/>
    <w:multiLevelType w:val="singleLevel"/>
    <w:tmpl w:val="FC1090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C83619"/>
    <w:multiLevelType w:val="singleLevel"/>
    <w:tmpl w:val="F8E4DE5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E465D1"/>
    <w:multiLevelType w:val="singleLevel"/>
    <w:tmpl w:val="61A8CB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647F46"/>
    <w:multiLevelType w:val="singleLevel"/>
    <w:tmpl w:val="0E8A22D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A57BDB"/>
    <w:multiLevelType w:val="singleLevel"/>
    <w:tmpl w:val="FCF4A3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A60EB4"/>
    <w:multiLevelType w:val="singleLevel"/>
    <w:tmpl w:val="0804D1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0678EC"/>
    <w:multiLevelType w:val="singleLevel"/>
    <w:tmpl w:val="865278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250462"/>
    <w:multiLevelType w:val="singleLevel"/>
    <w:tmpl w:val="04F0C5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883DA1"/>
    <w:multiLevelType w:val="singleLevel"/>
    <w:tmpl w:val="1D4A03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28110F"/>
    <w:multiLevelType w:val="singleLevel"/>
    <w:tmpl w:val="ECFC36B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6E2419"/>
    <w:multiLevelType w:val="singleLevel"/>
    <w:tmpl w:val="83EEEA2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262D45"/>
    <w:multiLevelType w:val="singleLevel"/>
    <w:tmpl w:val="B84A7E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E0497B"/>
    <w:multiLevelType w:val="singleLevel"/>
    <w:tmpl w:val="8C62FC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7B7B12"/>
    <w:multiLevelType w:val="singleLevel"/>
    <w:tmpl w:val="E5F473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E9686F"/>
    <w:multiLevelType w:val="singleLevel"/>
    <w:tmpl w:val="12824CC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4A27B5"/>
    <w:multiLevelType w:val="singleLevel"/>
    <w:tmpl w:val="C6727F1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B9782D"/>
    <w:multiLevelType w:val="singleLevel"/>
    <w:tmpl w:val="955A23A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405EA1"/>
    <w:multiLevelType w:val="singleLevel"/>
    <w:tmpl w:val="64F225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3D5F5B"/>
    <w:multiLevelType w:val="singleLevel"/>
    <w:tmpl w:val="4284390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D70E35"/>
    <w:multiLevelType w:val="singleLevel"/>
    <w:tmpl w:val="ED24119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D702D2"/>
    <w:multiLevelType w:val="singleLevel"/>
    <w:tmpl w:val="DE3401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742F2D"/>
    <w:multiLevelType w:val="singleLevel"/>
    <w:tmpl w:val="436E635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92098F"/>
    <w:multiLevelType w:val="singleLevel"/>
    <w:tmpl w:val="9154B86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A84450"/>
    <w:multiLevelType w:val="singleLevel"/>
    <w:tmpl w:val="7602A09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527DF6"/>
    <w:multiLevelType w:val="singleLevel"/>
    <w:tmpl w:val="6E04FAF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046817"/>
    <w:multiLevelType w:val="singleLevel"/>
    <w:tmpl w:val="F7460532"/>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33"/>
  </w:num>
  <w:num w:numId="4">
    <w:abstractNumId w:val="26"/>
  </w:num>
  <w:num w:numId="5">
    <w:abstractNumId w:val="44"/>
  </w:num>
  <w:num w:numId="6">
    <w:abstractNumId w:val="45"/>
  </w:num>
  <w:num w:numId="7">
    <w:abstractNumId w:val="34"/>
  </w:num>
  <w:num w:numId="8">
    <w:abstractNumId w:val="36"/>
  </w:num>
  <w:num w:numId="9">
    <w:abstractNumId w:val="23"/>
  </w:num>
  <w:num w:numId="10">
    <w:abstractNumId w:val="46"/>
  </w:num>
  <w:num w:numId="11">
    <w:abstractNumId w:val="7"/>
  </w:num>
  <w:num w:numId="12">
    <w:abstractNumId w:val="38"/>
  </w:num>
  <w:num w:numId="13">
    <w:abstractNumId w:val="3"/>
  </w:num>
  <w:num w:numId="14">
    <w:abstractNumId w:val="6"/>
  </w:num>
  <w:num w:numId="15">
    <w:abstractNumId w:val="1"/>
  </w:num>
  <w:num w:numId="16">
    <w:abstractNumId w:val="18"/>
  </w:num>
  <w:num w:numId="17">
    <w:abstractNumId w:val="37"/>
  </w:num>
  <w:num w:numId="18">
    <w:abstractNumId w:val="41"/>
  </w:num>
  <w:num w:numId="19">
    <w:abstractNumId w:val="5"/>
  </w:num>
  <w:num w:numId="20">
    <w:abstractNumId w:val="8"/>
  </w:num>
  <w:num w:numId="21">
    <w:abstractNumId w:val="28"/>
  </w:num>
  <w:num w:numId="22">
    <w:abstractNumId w:val="2"/>
  </w:num>
  <w:num w:numId="23">
    <w:abstractNumId w:val="10"/>
  </w:num>
  <w:num w:numId="24">
    <w:abstractNumId w:val="25"/>
  </w:num>
  <w:num w:numId="25">
    <w:abstractNumId w:val="4"/>
  </w:num>
  <w:num w:numId="26">
    <w:abstractNumId w:val="42"/>
  </w:num>
  <w:num w:numId="27">
    <w:abstractNumId w:val="14"/>
  </w:num>
  <w:num w:numId="28">
    <w:abstractNumId w:val="12"/>
  </w:num>
  <w:num w:numId="29">
    <w:abstractNumId w:val="19"/>
  </w:num>
  <w:num w:numId="30">
    <w:abstractNumId w:val="24"/>
  </w:num>
  <w:num w:numId="31">
    <w:abstractNumId w:val="32"/>
  </w:num>
  <w:num w:numId="32">
    <w:abstractNumId w:val="47"/>
  </w:num>
  <w:num w:numId="33">
    <w:abstractNumId w:val="27"/>
  </w:num>
  <w:num w:numId="34">
    <w:abstractNumId w:val="9"/>
  </w:num>
  <w:num w:numId="35">
    <w:abstractNumId w:val="15"/>
  </w:num>
  <w:num w:numId="36">
    <w:abstractNumId w:val="29"/>
  </w:num>
  <w:num w:numId="37">
    <w:abstractNumId w:val="30"/>
  </w:num>
  <w:num w:numId="38">
    <w:abstractNumId w:val="20"/>
  </w:num>
  <w:num w:numId="39">
    <w:abstractNumId w:val="35"/>
  </w:num>
  <w:num w:numId="40">
    <w:abstractNumId w:val="16"/>
  </w:num>
  <w:num w:numId="41">
    <w:abstractNumId w:val="39"/>
  </w:num>
  <w:num w:numId="42">
    <w:abstractNumId w:val="11"/>
  </w:num>
  <w:num w:numId="43">
    <w:abstractNumId w:val="13"/>
  </w:num>
  <w:num w:numId="44">
    <w:abstractNumId w:val="40"/>
  </w:num>
  <w:num w:numId="45">
    <w:abstractNumId w:val="43"/>
  </w:num>
  <w:num w:numId="46">
    <w:abstractNumId w:val="22"/>
  </w:num>
  <w:num w:numId="47">
    <w:abstractNumId w:val="31"/>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15CF"/>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15CF"/>
    <w:pPr>
      <w:spacing w:after="120"/>
    </w:pPr>
  </w:style>
  <w:style w:type="character" w:customStyle="1" w:styleId="af6">
    <w:name w:val="正文文本 字符"/>
    <w:basedOn w:val="a0"/>
    <w:link w:val="af5"/>
    <w:uiPriority w:val="99"/>
    <w:rsid w:val="006515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71A93-F3B2-40E6-AAF7-973E19EDF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2026-06-24T06:15:00Z</dcterms:created>
  <dcterms:modified xsi:type="dcterms:W3CDTF">2026-06-24T06:15:00Z</dcterms:modified>
</cp:coreProperties>
</file>