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FB0F578" w:rsidR="0049405C" w:rsidRPr="00C24D79" w:rsidRDefault="004C2FCF" w:rsidP="004C2FCF">
            <w:pPr>
              <w:spacing w:line="720" w:lineRule="auto"/>
              <w:rPr>
                <w:rFonts w:eastAsiaTheme="minorHAnsi"/>
                <w:color w:val="545551"/>
              </w:rPr>
            </w:pPr>
            <w:bookmarkStart w:id="0" w:name="xingming"/>
            <w:bookmarkStart w:id="1" w:name="_GoBack"/>
            <w:bookmarkEnd w:id="1"/>
            <w:r w:rsidRPr="004C2FCF">
              <w:rPr>
                <w:rFonts w:ascii="等线" w:eastAsia="等线" w:hAnsi="Times New Roman"/>
                <w:b/>
                <w:color w:val="000000"/>
                <w:sz w:val="48"/>
              </w:rPr>
              <w:t>ARNOLD PANG</w:t>
            </w:r>
            <w:bookmarkEnd w:id="0"/>
          </w:p>
          <w:p w14:paraId="706EB16B" w14:textId="42C602B7" w:rsidR="0049405C" w:rsidRPr="00C24D79" w:rsidRDefault="004C2FCF" w:rsidP="004C2FCF">
            <w:pPr>
              <w:spacing w:line="360" w:lineRule="auto"/>
              <w:rPr>
                <w:rFonts w:eastAsiaTheme="minorHAnsi"/>
                <w:b/>
                <w:bCs/>
                <w:color w:val="545551"/>
              </w:rPr>
            </w:pPr>
            <w:bookmarkStart w:id="2" w:name="didian"/>
            <w:r w:rsidRPr="004C2FCF">
              <w:rPr>
                <w:rFonts w:ascii="等线" w:eastAsia="等线" w:hAnsi="Times New Roman"/>
                <w:b/>
                <w:bCs/>
                <w:color w:val="000000"/>
              </w:rPr>
              <w:t>Partner</w:t>
            </w:r>
            <w:r w:rsidRPr="004C2FCF">
              <w:rPr>
                <w:rFonts w:ascii="等线" w:eastAsia="等线" w:hAnsi="Times New Roman"/>
                <w:b/>
                <w:bCs/>
                <w:color w:val="000000"/>
              </w:rPr>
              <w:t>·</w:t>
            </w:r>
            <w:r w:rsidRPr="004C2FCF">
              <w:rPr>
                <w:rFonts w:ascii="等线" w:eastAsia="等线" w:hAnsi="Times New Roman"/>
                <w:b/>
                <w:bCs/>
                <w:color w:val="000000"/>
              </w:rPr>
              <w:t>Hong Kong</w:t>
            </w:r>
            <w:bookmarkEnd w:id="2"/>
          </w:p>
          <w:p w14:paraId="6199424A" w14:textId="416305B7" w:rsidR="0049405C" w:rsidRPr="00C24D79" w:rsidRDefault="004C2FCF" w:rsidP="004C2FCF">
            <w:pPr>
              <w:spacing w:line="360" w:lineRule="auto"/>
              <w:rPr>
                <w:rFonts w:eastAsiaTheme="minorHAnsi"/>
                <w:color w:val="545551"/>
              </w:rPr>
            </w:pPr>
            <w:bookmarkStart w:id="3" w:name="dianhua"/>
            <w:r w:rsidRPr="004C2FCF">
              <w:rPr>
                <w:rFonts w:ascii="等线" w:eastAsia="等线" w:hAnsi="Times New Roman"/>
                <w:color w:val="000000"/>
              </w:rPr>
              <w:t xml:space="preserve">+852 3976 8890 </w:t>
            </w:r>
            <w:bookmarkEnd w:id="3"/>
          </w:p>
          <w:p w14:paraId="4F910ACA" w14:textId="0EDF1227" w:rsidR="0049405C" w:rsidRPr="00C24D79" w:rsidRDefault="004C2FCF" w:rsidP="004C2FCF">
            <w:pPr>
              <w:spacing w:line="360" w:lineRule="auto"/>
              <w:rPr>
                <w:rFonts w:eastAsiaTheme="minorHAnsi"/>
                <w:color w:val="000000"/>
              </w:rPr>
            </w:pPr>
            <w:bookmarkStart w:id="4" w:name="youxiang"/>
            <w:r w:rsidRPr="004C2FCF">
              <w:rPr>
                <w:rFonts w:ascii="等线" w:eastAsia="等线" w:hAnsi="Times New Roman"/>
                <w:color w:val="000000"/>
              </w:rPr>
              <w:t>arnold.pang@fangdalaw.com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7C52237" w:rsidR="0049405C" w:rsidRPr="00C24D79" w:rsidRDefault="004C2FC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0BE4A43" wp14:editId="547ADB2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EC81F63" w:rsidR="009465FB" w:rsidRPr="00C24D79" w:rsidRDefault="004C2FCF" w:rsidP="007177F3">
            <w:pPr>
              <w:rPr>
                <w:rFonts w:eastAsiaTheme="minorHAnsi"/>
                <w:color w:val="000000"/>
                <w:szCs w:val="21"/>
              </w:rPr>
            </w:pPr>
            <w:bookmarkStart w:id="6" w:name="zhiyelingyu"/>
            <w:r w:rsidRPr="004C2FCF">
              <w:rPr>
                <w:rFonts w:ascii="等线" w:eastAsia="等线" w:hAnsi="Times New Roman"/>
                <w:color w:val="000000"/>
                <w:szCs w:val="21"/>
              </w:rPr>
              <w:t>MR. PANG SPECIALIZES IN EQUITY CAPITAL MARKETS, FOREIGN INVESTMENT, CORPORATE GOVERNANCE AND COMPLIANCE MATTERS, AS WELL AS M&amp;A WORK.</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4852AB0" w14:textId="77777777" w:rsidR="004C2FC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1B1EF61" w14:textId="77777777" w:rsidR="004C2FCF" w:rsidRDefault="004C2FCF" w:rsidP="004C2FCF">
      <w:pPr>
        <w:pStyle w:val="af5"/>
        <w:spacing w:after="0" w:line="480" w:lineRule="auto"/>
        <w:rPr>
          <w:rFonts w:ascii="等线" w:eastAsia="等线" w:hAnsi="等线"/>
          <w:b/>
          <w:sz w:val="24"/>
        </w:rPr>
      </w:pPr>
      <w:r w:rsidRPr="004C2FCF">
        <w:rPr>
          <w:rFonts w:ascii="等线" w:eastAsia="等线" w:hAnsi="等线"/>
          <w:b/>
          <w:sz w:val="24"/>
        </w:rPr>
        <w:t>REPRESENTATIVE MATTERS AND CASES</w:t>
      </w:r>
    </w:p>
    <w:p w14:paraId="7DCA2ABA" w14:textId="77777777" w:rsidR="004C2FCF" w:rsidRDefault="004C2FCF" w:rsidP="004C2FCF">
      <w:pPr>
        <w:pStyle w:val="af5"/>
        <w:spacing w:before="120"/>
        <w:rPr>
          <w:rFonts w:ascii="等线" w:eastAsia="等线" w:hAnsi="Times New Roman"/>
          <w:color w:val="000000"/>
        </w:rPr>
      </w:pPr>
    </w:p>
    <w:p w14:paraId="5F6DBCFE" w14:textId="77777777" w:rsidR="004C2FCF" w:rsidRDefault="004C2FCF" w:rsidP="004C2FCF">
      <w:pPr>
        <w:pStyle w:val="af5"/>
        <w:numPr>
          <w:ilvl w:val="0"/>
          <w:numId w:val="4"/>
        </w:numPr>
        <w:spacing w:before="120"/>
        <w:ind w:left="690" w:hanging="240"/>
        <w:rPr>
          <w:rFonts w:ascii="等线" w:eastAsia="等线" w:hAnsi="Times New Roman"/>
          <w:color w:val="000000"/>
        </w:rPr>
      </w:pPr>
      <w:r w:rsidRPr="004C2FCF">
        <w:rPr>
          <w:rFonts w:ascii="等线" w:eastAsia="等线" w:hAnsi="Times New Roman"/>
          <w:color w:val="000000"/>
        </w:rPr>
        <w:t>Advised Sun Car Insurance Agency Co., Ltd. (stock code: 1879) on its proposed US$168 million H-shares global offering and listing on the Main Board of the Hong Kong Stock Exchange. Sun Car was quoted on the NEEQ and sought for dual listing of its H shares on the Hong Kong Stock Exchange. The joint sponsors were China Galaxy International and CICC</w:t>
      </w:r>
    </w:p>
    <w:p w14:paraId="580863A6" w14:textId="77777777" w:rsidR="004C2FCF" w:rsidRDefault="004C2FCF" w:rsidP="004C2FCF">
      <w:pPr>
        <w:pStyle w:val="af5"/>
        <w:numPr>
          <w:ilvl w:val="0"/>
          <w:numId w:val="5"/>
        </w:numPr>
        <w:spacing w:before="120"/>
        <w:ind w:left="690" w:hanging="240"/>
        <w:rPr>
          <w:rFonts w:ascii="等线" w:eastAsia="等线" w:hAnsi="Times New Roman"/>
          <w:color w:val="000000"/>
        </w:rPr>
      </w:pPr>
      <w:r w:rsidRPr="004C2FCF">
        <w:rPr>
          <w:rFonts w:ascii="等线" w:eastAsia="等线" w:hAnsi="Times New Roman"/>
          <w:color w:val="000000"/>
        </w:rPr>
        <w:t>Advised Haitong International as one of the underwriters on a HK$1.9 billion rights issue of Carnival Group International Holdings Limited (stock code: 996)</w:t>
      </w:r>
    </w:p>
    <w:p w14:paraId="17D567F3" w14:textId="77777777" w:rsidR="004C2FCF" w:rsidRDefault="004C2FCF" w:rsidP="004C2FCF">
      <w:pPr>
        <w:pStyle w:val="af5"/>
        <w:numPr>
          <w:ilvl w:val="0"/>
          <w:numId w:val="6"/>
        </w:numPr>
        <w:spacing w:before="120"/>
        <w:ind w:left="690" w:hanging="240"/>
        <w:rPr>
          <w:rFonts w:ascii="等线" w:eastAsia="等线" w:hAnsi="Times New Roman"/>
          <w:color w:val="000000"/>
        </w:rPr>
      </w:pPr>
      <w:r w:rsidRPr="004C2FCF">
        <w:rPr>
          <w:rFonts w:ascii="等线" w:eastAsia="等线" w:hAnsi="Times New Roman"/>
          <w:color w:val="000000"/>
        </w:rPr>
        <w:t>Advised Genscript Biotech Corporation in a US$60 million global offering and listing of its shares on the Main Board of the Hong Kong Stock Exchange. The Sponsor was Haitong International</w:t>
      </w:r>
    </w:p>
    <w:p w14:paraId="1E460EBF" w14:textId="77777777" w:rsidR="004C2FCF" w:rsidRDefault="004C2FCF" w:rsidP="004C2FCF">
      <w:pPr>
        <w:pStyle w:val="af5"/>
        <w:numPr>
          <w:ilvl w:val="0"/>
          <w:numId w:val="7"/>
        </w:numPr>
        <w:spacing w:before="120"/>
        <w:ind w:left="690" w:hanging="240"/>
        <w:rPr>
          <w:rFonts w:ascii="等线" w:eastAsia="等线" w:hAnsi="Times New Roman"/>
          <w:color w:val="000000"/>
        </w:rPr>
      </w:pPr>
      <w:r w:rsidRPr="004C2FCF">
        <w:rPr>
          <w:rFonts w:ascii="等线" w:eastAsia="等线" w:hAnsi="Times New Roman"/>
          <w:color w:val="000000"/>
        </w:rPr>
        <w:t>Advised Haitong International as one of the underwriters on a HK$340 million rights issue of GR Properties Limited (stock code: 108)</w:t>
      </w:r>
    </w:p>
    <w:p w14:paraId="0CFF928E" w14:textId="77777777" w:rsidR="004C2FCF" w:rsidRDefault="004C2FCF" w:rsidP="004C2FCF">
      <w:pPr>
        <w:pStyle w:val="af5"/>
        <w:numPr>
          <w:ilvl w:val="0"/>
          <w:numId w:val="8"/>
        </w:numPr>
        <w:spacing w:before="120"/>
        <w:ind w:left="690" w:hanging="240"/>
        <w:rPr>
          <w:rFonts w:ascii="等线" w:eastAsia="等线" w:hAnsi="Times New Roman"/>
          <w:color w:val="000000"/>
        </w:rPr>
      </w:pPr>
      <w:r w:rsidRPr="004C2FCF">
        <w:rPr>
          <w:rFonts w:ascii="等线" w:eastAsia="等线" w:hAnsi="Times New Roman"/>
          <w:color w:val="000000"/>
        </w:rPr>
        <w:t>Advised Fu Shou Yuan International Group Limited in a US$200 million global offering and listing of its shares on the Main Board of the Hong Kong Stock Exchange. The underwriters were Citigroup, UBS and CIMB</w:t>
      </w:r>
    </w:p>
    <w:p w14:paraId="20919642" w14:textId="77777777" w:rsidR="004C2FCF" w:rsidRDefault="004C2FCF" w:rsidP="004C2FCF">
      <w:pPr>
        <w:pStyle w:val="af5"/>
        <w:numPr>
          <w:ilvl w:val="0"/>
          <w:numId w:val="9"/>
        </w:numPr>
        <w:spacing w:before="120"/>
        <w:ind w:left="690" w:hanging="240"/>
        <w:rPr>
          <w:rFonts w:ascii="等线" w:eastAsia="等线" w:hAnsi="Times New Roman"/>
          <w:color w:val="000000"/>
        </w:rPr>
      </w:pPr>
      <w:r w:rsidRPr="004C2FCF">
        <w:rPr>
          <w:rFonts w:ascii="等线" w:eastAsia="等线" w:hAnsi="Times New Roman"/>
          <w:color w:val="000000"/>
        </w:rPr>
        <w:t>Advised BOC International, China Merchants Securities, China Securities, Macquarie Capital Securities in a HK$900 million global offering of Wisdom Holdings Group and listing of its shares on the Main Board of the Hong Kong Stock Exchange</w:t>
      </w:r>
    </w:p>
    <w:p w14:paraId="420B1DA4" w14:textId="77777777" w:rsidR="004C2FCF" w:rsidRDefault="004C2FCF" w:rsidP="004C2FCF">
      <w:pPr>
        <w:pStyle w:val="af5"/>
        <w:numPr>
          <w:ilvl w:val="0"/>
          <w:numId w:val="10"/>
        </w:numPr>
        <w:spacing w:before="120"/>
        <w:ind w:left="690" w:hanging="240"/>
        <w:rPr>
          <w:rFonts w:ascii="等线" w:eastAsia="等线" w:hAnsi="Times New Roman"/>
          <w:color w:val="000000"/>
        </w:rPr>
      </w:pPr>
      <w:r w:rsidRPr="004C2FCF">
        <w:rPr>
          <w:rFonts w:ascii="等线" w:eastAsia="等线" w:hAnsi="Times New Roman"/>
          <w:color w:val="000000"/>
        </w:rPr>
        <w:t>Advised Melco Crown Entertainment Limited on its listing by way of introduction on the Main Board of the Hong Kong Stock Exchange. The sponsors were Credit Swiss and Deutsche Bank</w:t>
      </w:r>
    </w:p>
    <w:p w14:paraId="4EC0357C" w14:textId="77777777" w:rsidR="004C2FCF" w:rsidRDefault="004C2FCF" w:rsidP="004C2FCF">
      <w:pPr>
        <w:pStyle w:val="af5"/>
        <w:numPr>
          <w:ilvl w:val="0"/>
          <w:numId w:val="11"/>
        </w:numPr>
        <w:spacing w:before="120"/>
        <w:ind w:left="690" w:hanging="240"/>
        <w:rPr>
          <w:rFonts w:ascii="等线" w:eastAsia="等线" w:hAnsi="Times New Roman"/>
          <w:color w:val="000000"/>
        </w:rPr>
      </w:pPr>
      <w:r w:rsidRPr="004C2FCF">
        <w:rPr>
          <w:rFonts w:ascii="等线" w:eastAsia="等线" w:hAnsi="Times New Roman"/>
          <w:color w:val="000000"/>
        </w:rPr>
        <w:t>Advised CICC, Goldman Sachs, J.P. Morgan, Morgan Stanley, BOCI and Credit Suisse in the HK$13 billion global offering of Changsha Zoomlion Heavy Industry Science and Technology Development Co., Ltd. and in the listing of its shares on the Main Board of the Hong Kong Stock Exchange</w:t>
      </w:r>
    </w:p>
    <w:p w14:paraId="6772B754" w14:textId="77777777" w:rsidR="004C2FCF" w:rsidRDefault="004C2FCF" w:rsidP="004C2FCF">
      <w:pPr>
        <w:pStyle w:val="af5"/>
        <w:numPr>
          <w:ilvl w:val="0"/>
          <w:numId w:val="12"/>
        </w:numPr>
        <w:spacing w:before="120"/>
        <w:ind w:left="690" w:hanging="240"/>
        <w:rPr>
          <w:rFonts w:ascii="等线" w:eastAsia="等线" w:hAnsi="Times New Roman"/>
          <w:color w:val="000000"/>
        </w:rPr>
      </w:pPr>
      <w:r w:rsidRPr="004C2FCF">
        <w:rPr>
          <w:rFonts w:ascii="等线" w:eastAsia="等线" w:hAnsi="Times New Roman"/>
          <w:color w:val="000000"/>
        </w:rPr>
        <w:t>Advised BaWang International (Group) Holding Limited in a HK$1.6 billion global offering and listing of its shares on the Main Board of the Hong Kong Stock Exchange. The underwriters were HSBC and Morgan Stanley</w:t>
      </w:r>
    </w:p>
    <w:p w14:paraId="2B73E519" w14:textId="77777777" w:rsidR="004C2FCF" w:rsidRDefault="004C2FCF" w:rsidP="004C2FCF">
      <w:pPr>
        <w:pStyle w:val="af5"/>
        <w:numPr>
          <w:ilvl w:val="0"/>
          <w:numId w:val="13"/>
        </w:numPr>
        <w:spacing w:before="120"/>
        <w:ind w:left="690" w:hanging="240"/>
        <w:rPr>
          <w:rFonts w:ascii="等线" w:eastAsia="等线" w:hAnsi="Times New Roman"/>
          <w:color w:val="000000"/>
        </w:rPr>
      </w:pPr>
      <w:r w:rsidRPr="004C2FCF">
        <w:rPr>
          <w:rFonts w:ascii="等线" w:eastAsia="等线" w:hAnsi="Times New Roman"/>
          <w:color w:val="000000"/>
        </w:rPr>
        <w:t>Advised Fosun International Limited in a US$11.5 billion global offering and listing of its shares on the Main Board of the Hong Kong Stock Exchange. The underwriters were Morgan Stanley, UBS and CICC</w:t>
      </w:r>
    </w:p>
    <w:p w14:paraId="40577AD1" w14:textId="77777777" w:rsidR="004C2FCF" w:rsidRDefault="004C2FCF" w:rsidP="004C2FCF">
      <w:pPr>
        <w:pStyle w:val="af5"/>
        <w:spacing w:after="0" w:line="480" w:lineRule="auto"/>
        <w:rPr>
          <w:rFonts w:ascii="等线" w:eastAsia="等线" w:hAnsi="等线"/>
          <w:b/>
          <w:sz w:val="24"/>
        </w:rPr>
      </w:pPr>
      <w:r w:rsidRPr="004C2FCF">
        <w:rPr>
          <w:rFonts w:ascii="等线" w:eastAsia="等线" w:hAnsi="等线"/>
          <w:b/>
          <w:sz w:val="24"/>
        </w:rPr>
        <w:t>Education</w:t>
      </w:r>
    </w:p>
    <w:p w14:paraId="3A8118D2" w14:textId="77777777" w:rsidR="004C2FCF" w:rsidRDefault="004C2FCF" w:rsidP="004C2FCF">
      <w:pPr>
        <w:pStyle w:val="af5"/>
        <w:numPr>
          <w:ilvl w:val="0"/>
          <w:numId w:val="14"/>
        </w:numPr>
        <w:spacing w:before="120"/>
        <w:ind w:left="690" w:hanging="240"/>
        <w:rPr>
          <w:rFonts w:ascii="等线" w:eastAsia="等线" w:hAnsi="Times New Roman"/>
          <w:color w:val="000000"/>
        </w:rPr>
      </w:pPr>
      <w:r w:rsidRPr="004C2FCF">
        <w:rPr>
          <w:rFonts w:ascii="等线" w:eastAsia="等线" w:hAnsi="Times New Roman"/>
          <w:color w:val="000000"/>
        </w:rPr>
        <w:t>University of Toronto, B.A.</w:t>
      </w:r>
    </w:p>
    <w:p w14:paraId="390DF70A" w14:textId="77777777" w:rsidR="004C2FCF" w:rsidRDefault="004C2FCF" w:rsidP="004C2FCF">
      <w:pPr>
        <w:pStyle w:val="af5"/>
        <w:numPr>
          <w:ilvl w:val="0"/>
          <w:numId w:val="15"/>
        </w:numPr>
        <w:spacing w:before="120"/>
        <w:ind w:left="690" w:hanging="240"/>
        <w:rPr>
          <w:rFonts w:ascii="等线" w:eastAsia="等线" w:hAnsi="Times New Roman"/>
          <w:color w:val="000000"/>
        </w:rPr>
      </w:pPr>
      <w:r w:rsidRPr="004C2FCF">
        <w:rPr>
          <w:rFonts w:ascii="等线" w:eastAsia="等线" w:hAnsi="Times New Roman"/>
          <w:color w:val="000000"/>
        </w:rPr>
        <w:t>The University of Hong Kong, LL.B</w:t>
      </w:r>
    </w:p>
    <w:p w14:paraId="0B690859" w14:textId="77777777" w:rsidR="004C2FCF" w:rsidRDefault="004C2FCF" w:rsidP="004C2FCF">
      <w:pPr>
        <w:pStyle w:val="af5"/>
        <w:numPr>
          <w:ilvl w:val="0"/>
          <w:numId w:val="16"/>
        </w:numPr>
        <w:spacing w:before="120"/>
        <w:ind w:left="690" w:hanging="240"/>
        <w:rPr>
          <w:rFonts w:ascii="等线" w:eastAsia="等线" w:hAnsi="Times New Roman"/>
          <w:color w:val="000000"/>
        </w:rPr>
      </w:pPr>
      <w:r w:rsidRPr="004C2FCF">
        <w:rPr>
          <w:rFonts w:ascii="等线" w:eastAsia="等线" w:hAnsi="Times New Roman"/>
          <w:color w:val="000000"/>
        </w:rPr>
        <w:t>The University of Hong Kong, PCLL</w:t>
      </w:r>
    </w:p>
    <w:p w14:paraId="166D5ADA" w14:textId="77777777" w:rsidR="004C2FCF" w:rsidRDefault="004C2FCF" w:rsidP="004C2FCF">
      <w:pPr>
        <w:pStyle w:val="af5"/>
        <w:spacing w:after="0" w:line="480" w:lineRule="auto"/>
        <w:rPr>
          <w:rFonts w:ascii="等线" w:eastAsia="等线" w:hAnsi="等线"/>
          <w:b/>
          <w:sz w:val="24"/>
        </w:rPr>
      </w:pPr>
      <w:r w:rsidRPr="004C2FCF">
        <w:rPr>
          <w:rFonts w:ascii="等线" w:eastAsia="等线" w:hAnsi="等线"/>
          <w:b/>
          <w:sz w:val="24"/>
        </w:rPr>
        <w:t>Professional Qualification</w:t>
      </w:r>
    </w:p>
    <w:p w14:paraId="23DE1047" w14:textId="77777777" w:rsidR="004C2FCF" w:rsidRDefault="004C2FCF" w:rsidP="004C2FCF">
      <w:pPr>
        <w:pStyle w:val="af5"/>
        <w:numPr>
          <w:ilvl w:val="0"/>
          <w:numId w:val="17"/>
        </w:numPr>
        <w:spacing w:before="120"/>
        <w:ind w:left="690" w:hanging="240"/>
        <w:rPr>
          <w:rFonts w:ascii="等线" w:eastAsia="等线" w:hAnsi="Times New Roman"/>
          <w:color w:val="000000"/>
        </w:rPr>
      </w:pPr>
      <w:r w:rsidRPr="004C2FCF">
        <w:rPr>
          <w:rFonts w:ascii="等线" w:eastAsia="等线" w:hAnsi="Times New Roman"/>
          <w:color w:val="000000"/>
        </w:rPr>
        <w:t>Admitted to practice in Hong Kong SAR</w:t>
      </w:r>
    </w:p>
    <w:p w14:paraId="3382E34E" w14:textId="77777777" w:rsidR="004C2FCF" w:rsidRDefault="004C2FCF" w:rsidP="004C2FCF">
      <w:pPr>
        <w:pStyle w:val="af5"/>
        <w:spacing w:after="0" w:line="480" w:lineRule="auto"/>
        <w:rPr>
          <w:rFonts w:ascii="等线" w:eastAsia="等线" w:hAnsi="等线"/>
          <w:b/>
          <w:sz w:val="24"/>
        </w:rPr>
      </w:pPr>
      <w:r w:rsidRPr="004C2FCF">
        <w:rPr>
          <w:rFonts w:ascii="等线" w:eastAsia="等线" w:hAnsi="等线"/>
          <w:b/>
          <w:sz w:val="24"/>
        </w:rPr>
        <w:t>Professional Background</w:t>
      </w:r>
    </w:p>
    <w:p w14:paraId="5567FC3C" w14:textId="3F570539" w:rsidR="00686369" w:rsidRPr="004C2FCF" w:rsidRDefault="004C2FCF" w:rsidP="004C2FCF">
      <w:pPr>
        <w:pStyle w:val="af5"/>
        <w:numPr>
          <w:ilvl w:val="0"/>
          <w:numId w:val="18"/>
        </w:numPr>
        <w:spacing w:before="120"/>
        <w:ind w:left="690" w:hanging="240"/>
        <w:rPr>
          <w:rFonts w:ascii="等线" w:eastAsia="等线" w:hAnsi="Times New Roman"/>
          <w:color w:val="000000"/>
        </w:rPr>
      </w:pPr>
      <w:r w:rsidRPr="004C2FCF">
        <w:rPr>
          <w:rFonts w:ascii="等线" w:eastAsia="等线" w:hAnsi="Times New Roman"/>
          <w:color w:val="000000"/>
        </w:rPr>
        <w:t>Before joining Fangda Partners, Mr. Pang worked at two prominent international firms, Shearman &amp; Sterling and Herbert Smith Freehills.</w:t>
      </w:r>
    </w:p>
    <w:sectPr w:rsidR="00686369" w:rsidRPr="004C2FC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08C6"/>
    <w:multiLevelType w:val="singleLevel"/>
    <w:tmpl w:val="1C7AB89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99164C"/>
    <w:multiLevelType w:val="singleLevel"/>
    <w:tmpl w:val="A8765EB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5F67BB"/>
    <w:multiLevelType w:val="singleLevel"/>
    <w:tmpl w:val="8924BD7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AE3AA8"/>
    <w:multiLevelType w:val="singleLevel"/>
    <w:tmpl w:val="7C902EF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1590BB9"/>
    <w:multiLevelType w:val="singleLevel"/>
    <w:tmpl w:val="C062006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3B57EF"/>
    <w:multiLevelType w:val="singleLevel"/>
    <w:tmpl w:val="4B1E2BB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4561639"/>
    <w:multiLevelType w:val="singleLevel"/>
    <w:tmpl w:val="61660C1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5704AB0"/>
    <w:multiLevelType w:val="singleLevel"/>
    <w:tmpl w:val="8A2E71B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BFE2DDF"/>
    <w:multiLevelType w:val="singleLevel"/>
    <w:tmpl w:val="10E0A2D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A2B1C0D"/>
    <w:multiLevelType w:val="singleLevel"/>
    <w:tmpl w:val="D08AB59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1FA31E2"/>
    <w:multiLevelType w:val="singleLevel"/>
    <w:tmpl w:val="10E0A2D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0793E2E"/>
    <w:multiLevelType w:val="singleLevel"/>
    <w:tmpl w:val="CDA4A9F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5B93E8B"/>
    <w:multiLevelType w:val="singleLevel"/>
    <w:tmpl w:val="ECF4DA8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A5F7ACF"/>
    <w:multiLevelType w:val="singleLevel"/>
    <w:tmpl w:val="646875E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BCA7077"/>
    <w:multiLevelType w:val="singleLevel"/>
    <w:tmpl w:val="6D7A3FF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4176434"/>
    <w:multiLevelType w:val="singleLevel"/>
    <w:tmpl w:val="1EC82E40"/>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9"/>
  </w:num>
  <w:num w:numId="3">
    <w:abstractNumId w:val="4"/>
  </w:num>
  <w:num w:numId="4">
    <w:abstractNumId w:val="8"/>
  </w:num>
  <w:num w:numId="5">
    <w:abstractNumId w:val="3"/>
  </w:num>
  <w:num w:numId="6">
    <w:abstractNumId w:val="13"/>
  </w:num>
  <w:num w:numId="7">
    <w:abstractNumId w:val="0"/>
  </w:num>
  <w:num w:numId="8">
    <w:abstractNumId w:val="1"/>
  </w:num>
  <w:num w:numId="9">
    <w:abstractNumId w:val="2"/>
  </w:num>
  <w:num w:numId="10">
    <w:abstractNumId w:val="17"/>
  </w:num>
  <w:num w:numId="11">
    <w:abstractNumId w:val="11"/>
  </w:num>
  <w:num w:numId="12">
    <w:abstractNumId w:val="7"/>
  </w:num>
  <w:num w:numId="13">
    <w:abstractNumId w:val="5"/>
  </w:num>
  <w:num w:numId="14">
    <w:abstractNumId w:val="15"/>
  </w:num>
  <w:num w:numId="15">
    <w:abstractNumId w:val="14"/>
  </w:num>
  <w:num w:numId="16">
    <w:abstractNumId w:val="16"/>
  </w:num>
  <w:num w:numId="17">
    <w:abstractNumId w:val="1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C2FCF"/>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C2FCF"/>
    <w:pPr>
      <w:spacing w:after="120"/>
    </w:pPr>
  </w:style>
  <w:style w:type="character" w:customStyle="1" w:styleId="af6">
    <w:name w:val="正文文本 字符"/>
    <w:basedOn w:val="a0"/>
    <w:link w:val="af5"/>
    <w:uiPriority w:val="99"/>
    <w:rsid w:val="004C2FC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013CB-0B1A-45A6-AE58-B3A9F4507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409</Words>
  <Characters>2336</Characters>
  <Application>Microsoft Office Word</Application>
  <DocSecurity>0</DocSecurity>
  <Lines>19</Lines>
  <Paragraphs>5</Paragraphs>
  <ScaleCrop>false</ScaleCrop>
  <Company/>
  <LinksUpToDate>false</LinksUpToDate>
  <CharactersWithSpaces>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2026-10-29T07:53:00Z</dcterms:created>
  <dcterms:modified xsi:type="dcterms:W3CDTF">2026-10-29T07:53:00Z</dcterms:modified>
</cp:coreProperties>
</file>