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6C0D139" w:rsidR="0049405C" w:rsidRPr="00C24D79" w:rsidRDefault="00DD5C9C" w:rsidP="00DD5C9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D5C9C">
              <w:rPr>
                <w:rFonts w:ascii="等线" w:eastAsia="等线" w:hAnsi="Times New Roman"/>
                <w:b/>
                <w:color w:val="000000"/>
                <w:sz w:val="48"/>
              </w:rPr>
              <w:t>ARMAN LIE</w:t>
            </w:r>
            <w:bookmarkEnd w:id="0"/>
          </w:p>
          <w:p w14:paraId="706EB16B" w14:textId="0E277225" w:rsidR="0049405C" w:rsidRPr="00C24D79" w:rsidRDefault="00DD5C9C" w:rsidP="00DD5C9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D5C9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D5C9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D5C9C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A52A147" w:rsidR="0049405C" w:rsidRPr="00C24D79" w:rsidRDefault="00DD5C9C" w:rsidP="00DD5C9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D5C9C">
              <w:rPr>
                <w:rFonts w:ascii="等线" w:eastAsia="等线" w:hAnsi="Times New Roman"/>
                <w:color w:val="000000"/>
              </w:rPr>
              <w:t xml:space="preserve">+852 3749 1160 </w:t>
            </w:r>
            <w:bookmarkEnd w:id="3"/>
          </w:p>
          <w:p w14:paraId="4F910ACA" w14:textId="6F01DE3B" w:rsidR="0049405C" w:rsidRPr="00C24D79" w:rsidRDefault="00DD5C9C" w:rsidP="00DD5C9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D5C9C">
              <w:rPr>
                <w:rFonts w:ascii="等线" w:eastAsia="等线" w:hAnsi="Times New Roman"/>
                <w:color w:val="000000"/>
              </w:rPr>
              <w:t>arman.lie@fangdalaw.com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30AC00" w:rsidR="0049405C" w:rsidRPr="00C24D79" w:rsidRDefault="00DD5C9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4337A4" wp14:editId="70158CBB">
                  <wp:extent cx="1651000" cy="2142973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B0B2B95" w:rsidR="009465FB" w:rsidRPr="00C24D79" w:rsidRDefault="00DD5C9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D5C9C">
              <w:rPr>
                <w:rFonts w:ascii="等线" w:eastAsia="等线" w:hAnsi="Times New Roman"/>
                <w:color w:val="000000"/>
                <w:szCs w:val="21"/>
              </w:rPr>
              <w:t>MR. LIE IS A PARTNER IN THE CAPITAL MARKET GROUP AT FANGDA</w:t>
            </w:r>
            <w:r w:rsidRPr="00DD5C9C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DD5C9C">
              <w:rPr>
                <w:rFonts w:ascii="等线" w:eastAsia="等线" w:hAnsi="Times New Roman"/>
                <w:color w:val="000000"/>
                <w:szCs w:val="21"/>
              </w:rPr>
              <w:t>S HONG KONG OFFICE. HE SPECIALIZES IN CAPITAL MARKETS, M&amp;A, PUBLIC AND PRIVATE PLACEMENTS AND OTHER FINANCING TRANSACTIONS, AND REPRESENTS LEADING CORPORATE AND FINANCIAL INSTITUTIONS, PRIVATE EQUITY FUNDS AND LISTED COMPANIES.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B863D15" w14:textId="77777777" w:rsidR="00DD5C9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3C5ED14" w14:textId="77777777" w:rsidR="00DD5C9C" w:rsidRDefault="00DD5C9C" w:rsidP="00DD5C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5C9C">
        <w:rPr>
          <w:rFonts w:ascii="等线" w:eastAsia="等线" w:hAnsi="等线"/>
          <w:b/>
          <w:sz w:val="24"/>
        </w:rPr>
        <w:t>REPRESENTATIVE MATTERS AND CASES</w:t>
      </w:r>
    </w:p>
    <w:p w14:paraId="10E7911E" w14:textId="77777777" w:rsidR="00DD5C9C" w:rsidRDefault="00DD5C9C" w:rsidP="00DD5C9C">
      <w:pPr>
        <w:pStyle w:val="af5"/>
        <w:spacing w:before="12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Corporate Finance</w:t>
      </w:r>
    </w:p>
    <w:p w14:paraId="2E0A403F" w14:textId="77777777" w:rsidR="00DD5C9C" w:rsidRDefault="00DD5C9C" w:rsidP="00DD5C9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Represented Jinxin Fertility Group Limited (HKEx stock code: 1951) in its over US $400 million global offering and initial public offering on the Main Board of the HKEx</w:t>
      </w:r>
    </w:p>
    <w:p w14:paraId="62BB4472" w14:textId="77777777" w:rsidR="00DD5C9C" w:rsidRDefault="00DD5C9C" w:rsidP="00DD5C9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Represented Morgan Stanley and Huatai Financial as placing agents in the proposed H-Share private placement of WuXi AppTec Co., Ltd. (HKEx stock code: 2359) worth over HK $7 billion</w:t>
      </w:r>
    </w:p>
    <w:p w14:paraId="123D5D0B" w14:textId="77777777" w:rsidR="00DD5C9C" w:rsidRDefault="00DD5C9C" w:rsidP="00DD5C9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Represented WuXi Biologics (Cayman) Inc. (HKEx stock code: 2269) and its controlling shareholders in successive primary and secondary placing transactions since WuXi</w:t>
      </w:r>
      <w:r w:rsidRPr="00DD5C9C">
        <w:rPr>
          <w:rFonts w:ascii="等线" w:eastAsia="等线" w:hAnsi="Times New Roman"/>
          <w:color w:val="000000"/>
        </w:rPr>
        <w:t>’</w:t>
      </w:r>
      <w:r w:rsidRPr="00DD5C9C">
        <w:rPr>
          <w:rFonts w:ascii="等线" w:eastAsia="等线" w:hAnsi="Times New Roman"/>
          <w:color w:val="000000"/>
        </w:rPr>
        <w:t>s listing on the Main Board of the HKEx, with an aggregate transaction value of over US $5 billion</w:t>
      </w:r>
    </w:p>
    <w:p w14:paraId="72CF951B" w14:textId="77777777" w:rsidR="00DD5C9C" w:rsidRDefault="00DD5C9C" w:rsidP="00DD5C9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Represented Morgan Stanley, Huatai Financial and Goldman Sachs, as sponsors and global coordinators, in the US $1 billion global H-Share offering of WuXi AppTec Co., Ltd. (HKEx stock code: 2359) on the Main Board of the HKEx</w:t>
      </w:r>
    </w:p>
    <w:p w14:paraId="6FDD40FC" w14:textId="77777777" w:rsidR="00DD5C9C" w:rsidRDefault="00DD5C9C" w:rsidP="00DD5C9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Represented Bank of America, Morgan Stanley and China Merchants Securities as sponsors in the US $510 million global offering and initial public offering of WuXi Biologics (Cayman) Inc. (HKEx stock code: 2269) on the Main Board of the HKEx</w:t>
      </w:r>
    </w:p>
    <w:p w14:paraId="163E7D89" w14:textId="77777777" w:rsidR="00DD5C9C" w:rsidRDefault="00DD5C9C" w:rsidP="00DD5C9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Represented Citigroup and CCB International as joint sponsors and joint global coordinators in connection with the US $113 million global offering and initial public offering of Zhaoqing Kepei Education Group Limited (HKEx stock code: 1890) on the Main Board of the HKEx</w:t>
      </w:r>
    </w:p>
    <w:p w14:paraId="58A37EAE" w14:textId="77777777" w:rsidR="00DD5C9C" w:rsidRDefault="00DD5C9C" w:rsidP="00DD5C9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Represented Jinxin Healthcare Investment Management Group, a Sichuan-based international healthcare group, in its series A round of equity financing of USD $140 million from Capital Group and GL Capital as pre-IPO investors</w:t>
      </w:r>
    </w:p>
    <w:p w14:paraId="054C061A" w14:textId="77777777" w:rsidR="00DD5C9C" w:rsidRDefault="00DD5C9C" w:rsidP="00DD5C9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Advised Fujifilm Corporation, as cornerstone investor, in the initial public offering and listing of China Resources Pharmaceutical Group Limited (HKEx stock code: 3320) on the Main Board of the HKEx</w:t>
      </w:r>
    </w:p>
    <w:p w14:paraId="5AC96FC8" w14:textId="77777777" w:rsidR="00DD5C9C" w:rsidRDefault="00DD5C9C" w:rsidP="00DD5C9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Advised a PRC-based real estate property developer in a syndicated loan of USD $175 million led by China CITIC Bank for group restructuring and settlement of outstanding exchangeable bonds</w:t>
      </w:r>
    </w:p>
    <w:p w14:paraId="316AD1E0" w14:textId="77777777" w:rsidR="00DD5C9C" w:rsidRDefault="00DD5C9C" w:rsidP="00DD5C9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Advised Harrow International and its affiliates in a term loan facility of HKD $600 million from the Bank of East Asia and Heng Sang Bank for construction of the Harrow schools in Hong Kong</w:t>
      </w:r>
    </w:p>
    <w:p w14:paraId="63DD0F1B" w14:textId="77777777" w:rsidR="00DD5C9C" w:rsidRDefault="00DD5C9C" w:rsidP="00DD5C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5C9C">
        <w:rPr>
          <w:rFonts w:ascii="等线" w:eastAsia="等线" w:hAnsi="等线"/>
          <w:b/>
          <w:sz w:val="24"/>
        </w:rPr>
        <w:t>Education</w:t>
      </w:r>
    </w:p>
    <w:p w14:paraId="4762BECB" w14:textId="77777777" w:rsidR="00DD5C9C" w:rsidRDefault="00DD5C9C" w:rsidP="00DD5C9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The University of Hong Kong, PCLL</w:t>
      </w:r>
    </w:p>
    <w:p w14:paraId="5C241705" w14:textId="77777777" w:rsidR="00DD5C9C" w:rsidRDefault="00DD5C9C" w:rsidP="00DD5C9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The University of Hong Kong, LL.B.</w:t>
      </w:r>
    </w:p>
    <w:p w14:paraId="71573153" w14:textId="77777777" w:rsidR="00DD5C9C" w:rsidRDefault="00DD5C9C" w:rsidP="00DD5C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5C9C">
        <w:rPr>
          <w:rFonts w:ascii="等线" w:eastAsia="等线" w:hAnsi="等线"/>
          <w:b/>
          <w:sz w:val="24"/>
        </w:rPr>
        <w:t>Professional Qualification</w:t>
      </w:r>
    </w:p>
    <w:p w14:paraId="48FD8310" w14:textId="77777777" w:rsidR="00DD5C9C" w:rsidRDefault="00DD5C9C" w:rsidP="00DD5C9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Admitted to practice in Hong Kong SAR</w:t>
      </w:r>
    </w:p>
    <w:p w14:paraId="3F347979" w14:textId="77777777" w:rsidR="00DD5C9C" w:rsidRDefault="00DD5C9C" w:rsidP="00DD5C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D5C9C">
        <w:rPr>
          <w:rFonts w:ascii="等线" w:eastAsia="等线" w:hAnsi="等线"/>
          <w:b/>
          <w:sz w:val="24"/>
        </w:rPr>
        <w:t>Work Language</w:t>
      </w:r>
    </w:p>
    <w:p w14:paraId="4A024FE0" w14:textId="77777777" w:rsidR="00DD5C9C" w:rsidRDefault="00DD5C9C" w:rsidP="00DD5C9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English</w:t>
      </w:r>
    </w:p>
    <w:p w14:paraId="5F355F6A" w14:textId="77777777" w:rsidR="00DD5C9C" w:rsidRDefault="00DD5C9C" w:rsidP="00DD5C9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Mandarin Chinese</w:t>
      </w:r>
    </w:p>
    <w:p w14:paraId="5567FC3C" w14:textId="1D9A43FF" w:rsidR="00686369" w:rsidRPr="00DD5C9C" w:rsidRDefault="00DD5C9C" w:rsidP="00DD5C9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D5C9C">
        <w:rPr>
          <w:rFonts w:ascii="等线" w:eastAsia="等线" w:hAnsi="Times New Roman"/>
          <w:color w:val="000000"/>
        </w:rPr>
        <w:t>Cantonese</w:t>
      </w:r>
    </w:p>
    <w:sectPr w:rsidR="00686369" w:rsidRPr="00DD5C9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C6225"/>
    <w:multiLevelType w:val="singleLevel"/>
    <w:tmpl w:val="2B46A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0666B8"/>
    <w:multiLevelType w:val="singleLevel"/>
    <w:tmpl w:val="6A164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846552"/>
    <w:multiLevelType w:val="singleLevel"/>
    <w:tmpl w:val="845C5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9A24C0"/>
    <w:multiLevelType w:val="singleLevel"/>
    <w:tmpl w:val="22BE3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5AA434C"/>
    <w:multiLevelType w:val="singleLevel"/>
    <w:tmpl w:val="8690C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9102CBE"/>
    <w:multiLevelType w:val="singleLevel"/>
    <w:tmpl w:val="66F64C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94B0541"/>
    <w:multiLevelType w:val="singleLevel"/>
    <w:tmpl w:val="845C5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9841E0E"/>
    <w:multiLevelType w:val="singleLevel"/>
    <w:tmpl w:val="0D7CC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BB472EE"/>
    <w:multiLevelType w:val="singleLevel"/>
    <w:tmpl w:val="9CBC4D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CB4682C"/>
    <w:multiLevelType w:val="singleLevel"/>
    <w:tmpl w:val="4E5C7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5024F2"/>
    <w:multiLevelType w:val="singleLevel"/>
    <w:tmpl w:val="3E26B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EA2E34"/>
    <w:multiLevelType w:val="singleLevel"/>
    <w:tmpl w:val="87E4A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AC5E6C"/>
    <w:multiLevelType w:val="singleLevel"/>
    <w:tmpl w:val="37B46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8751A8C"/>
    <w:multiLevelType w:val="singleLevel"/>
    <w:tmpl w:val="59D25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96936C0"/>
    <w:multiLevelType w:val="singleLevel"/>
    <w:tmpl w:val="4A760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DD728EF"/>
    <w:multiLevelType w:val="singleLevel"/>
    <w:tmpl w:val="537081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AD225A5"/>
    <w:multiLevelType w:val="singleLevel"/>
    <w:tmpl w:val="536E2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1"/>
  </w:num>
  <w:num w:numId="5">
    <w:abstractNumId w:val="10"/>
  </w:num>
  <w:num w:numId="6">
    <w:abstractNumId w:val="0"/>
  </w:num>
  <w:num w:numId="7">
    <w:abstractNumId w:val="9"/>
  </w:num>
  <w:num w:numId="8">
    <w:abstractNumId w:val="17"/>
  </w:num>
  <w:num w:numId="9">
    <w:abstractNumId w:val="13"/>
  </w:num>
  <w:num w:numId="10">
    <w:abstractNumId w:val="3"/>
  </w:num>
  <w:num w:numId="11">
    <w:abstractNumId w:val="11"/>
  </w:num>
  <w:num w:numId="12">
    <w:abstractNumId w:val="18"/>
  </w:num>
  <w:num w:numId="13">
    <w:abstractNumId w:val="6"/>
  </w:num>
  <w:num w:numId="14">
    <w:abstractNumId w:val="14"/>
  </w:num>
  <w:num w:numId="15">
    <w:abstractNumId w:val="16"/>
  </w:num>
  <w:num w:numId="16">
    <w:abstractNumId w:val="7"/>
  </w:num>
  <w:num w:numId="17">
    <w:abstractNumId w:val="12"/>
  </w:num>
  <w:num w:numId="18">
    <w:abstractNumId w:val="8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D5C9C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D5C9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D5C9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E6389F2-28AF-4BBC-8293-4E79F3DEE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2026-08-04T18:56:00Z</dcterms:created>
  <dcterms:modified xsi:type="dcterms:W3CDTF">2026-08-04T18:56:00Z</dcterms:modified>
</cp:coreProperties>
</file>