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37D69D32" w:rsidR="0049405C" w:rsidRPr="00C24D79" w:rsidRDefault="00072D50" w:rsidP="00072D50">
            <w:pPr>
              <w:spacing w:line="720" w:lineRule="auto"/>
              <w:rPr>
                <w:rFonts w:eastAsiaTheme="minorHAnsi"/>
                <w:color w:val="545551"/>
              </w:rPr>
            </w:pPr>
            <w:bookmarkStart w:id="0" w:name="xingming"/>
            <w:bookmarkStart w:id="1" w:name="_GoBack"/>
            <w:bookmarkEnd w:id="1"/>
            <w:r w:rsidRPr="00072D50">
              <w:rPr>
                <w:rFonts w:ascii="等线" w:eastAsia="等线" w:hAnsi="Times New Roman"/>
                <w:b/>
                <w:color w:val="000000"/>
                <w:sz w:val="48"/>
              </w:rPr>
              <w:t>ANNIE SHEN</w:t>
            </w:r>
            <w:bookmarkEnd w:id="0"/>
          </w:p>
          <w:p w14:paraId="706EB16B" w14:textId="3F595D42" w:rsidR="0049405C" w:rsidRPr="00C24D79" w:rsidRDefault="00072D50" w:rsidP="00072D50">
            <w:pPr>
              <w:spacing w:line="360" w:lineRule="auto"/>
              <w:rPr>
                <w:rFonts w:eastAsiaTheme="minorHAnsi"/>
                <w:b/>
                <w:bCs/>
                <w:color w:val="545551"/>
              </w:rPr>
            </w:pPr>
            <w:bookmarkStart w:id="2" w:name="didian"/>
            <w:r w:rsidRPr="00072D50">
              <w:rPr>
                <w:rFonts w:ascii="等线" w:eastAsia="等线" w:hAnsi="Times New Roman"/>
                <w:b/>
                <w:bCs/>
                <w:color w:val="000000"/>
              </w:rPr>
              <w:t>Partner</w:t>
            </w:r>
            <w:r w:rsidRPr="00072D50">
              <w:rPr>
                <w:rFonts w:ascii="等线" w:eastAsia="等线" w:hAnsi="Times New Roman"/>
                <w:b/>
                <w:bCs/>
                <w:color w:val="000000"/>
              </w:rPr>
              <w:t>·</w:t>
            </w:r>
            <w:r w:rsidRPr="00072D50">
              <w:rPr>
                <w:rFonts w:ascii="等线" w:eastAsia="等线" w:hAnsi="Times New Roman"/>
                <w:b/>
                <w:bCs/>
                <w:color w:val="000000"/>
              </w:rPr>
              <w:t>Hong Kong | Shanghai</w:t>
            </w:r>
            <w:bookmarkEnd w:id="2"/>
          </w:p>
          <w:p w14:paraId="6199424A" w14:textId="625B7B80" w:rsidR="0049405C" w:rsidRPr="00C24D79" w:rsidRDefault="00072D50" w:rsidP="00072D50">
            <w:pPr>
              <w:spacing w:line="360" w:lineRule="auto"/>
              <w:rPr>
                <w:rFonts w:eastAsiaTheme="minorHAnsi"/>
                <w:color w:val="545551"/>
              </w:rPr>
            </w:pPr>
            <w:bookmarkStart w:id="3" w:name="dianhua"/>
            <w:r w:rsidRPr="00072D50">
              <w:rPr>
                <w:rFonts w:ascii="等线" w:eastAsia="等线" w:hAnsi="Times New Roman"/>
                <w:color w:val="000000"/>
              </w:rPr>
              <w:t xml:space="preserve">+852 3749 1121 </w:t>
            </w:r>
            <w:bookmarkEnd w:id="3"/>
          </w:p>
          <w:p w14:paraId="4F910ACA" w14:textId="6A9DC520" w:rsidR="0049405C" w:rsidRPr="00C24D79" w:rsidRDefault="00072D50" w:rsidP="00072D50">
            <w:pPr>
              <w:spacing w:line="360" w:lineRule="auto"/>
              <w:rPr>
                <w:rFonts w:eastAsiaTheme="minorHAnsi"/>
                <w:color w:val="000000"/>
              </w:rPr>
            </w:pPr>
            <w:bookmarkStart w:id="4" w:name="youxiang"/>
            <w:r w:rsidRPr="00072D50">
              <w:rPr>
                <w:rFonts w:ascii="等线" w:eastAsia="等线" w:hAnsi="Times New Roman"/>
                <w:color w:val="000000"/>
              </w:rPr>
              <w:t>annie.shen@fangdalaw.com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0FFDFC33" w:rsidR="0049405C" w:rsidRPr="00C24D79" w:rsidRDefault="00072D50"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1DC0FBFC" wp14:editId="49E167FE">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B89D711" w14:textId="77777777" w:rsidR="00072D50" w:rsidRPr="00072D50" w:rsidRDefault="00072D50" w:rsidP="007177F3">
            <w:pPr>
              <w:rPr>
                <w:rFonts w:ascii="等线" w:eastAsia="等线" w:hAnsi="Times New Roman"/>
                <w:color w:val="000000"/>
                <w:szCs w:val="21"/>
              </w:rPr>
            </w:pPr>
            <w:bookmarkStart w:id="6" w:name="zhiyelingyu"/>
            <w:r w:rsidRPr="00072D50">
              <w:rPr>
                <w:rFonts w:ascii="等线" w:eastAsia="等线" w:hAnsi="Times New Roman"/>
                <w:color w:val="000000"/>
                <w:szCs w:val="21"/>
              </w:rPr>
              <w:t xml:space="preserve">ANNIE SHEN SPECIALIZES IN: </w:t>
            </w:r>
          </w:p>
          <w:p w14:paraId="21A4AB56" w14:textId="77777777" w:rsidR="00072D50" w:rsidRPr="00072D50" w:rsidRDefault="00072D50" w:rsidP="007177F3">
            <w:pPr>
              <w:rPr>
                <w:rFonts w:ascii="等线" w:eastAsia="等线" w:hAnsi="Times New Roman"/>
                <w:color w:val="000000"/>
                <w:szCs w:val="21"/>
              </w:rPr>
            </w:pPr>
            <w:r w:rsidRPr="00072D50">
              <w:rPr>
                <w:rFonts w:ascii="等线" w:eastAsia="等线" w:hAnsi="Times New Roman" w:hint="eastAsia"/>
                <w:color w:val="000000"/>
                <w:szCs w:val="21"/>
              </w:rPr>
              <w:t>•</w:t>
            </w:r>
            <w:r w:rsidRPr="00072D50">
              <w:rPr>
                <w:rFonts w:ascii="等线" w:eastAsia="等线" w:hAnsi="Times New Roman"/>
                <w:color w:val="000000"/>
                <w:szCs w:val="21"/>
              </w:rPr>
              <w:tab/>
              <w:t>INVESTMENT-GRADE AND HIGH-YIELD DEBT OFFERINGS</w:t>
            </w:r>
          </w:p>
          <w:p w14:paraId="56F0A4F0" w14:textId="77777777" w:rsidR="00072D50" w:rsidRPr="00072D50" w:rsidRDefault="00072D50" w:rsidP="007177F3">
            <w:pPr>
              <w:rPr>
                <w:rFonts w:ascii="等线" w:eastAsia="等线" w:hAnsi="Times New Roman"/>
                <w:color w:val="000000"/>
                <w:szCs w:val="21"/>
              </w:rPr>
            </w:pPr>
            <w:r w:rsidRPr="00072D50">
              <w:rPr>
                <w:rFonts w:ascii="等线" w:eastAsia="等线" w:hAnsi="Times New Roman" w:hint="eastAsia"/>
                <w:color w:val="000000"/>
                <w:szCs w:val="21"/>
              </w:rPr>
              <w:t>•</w:t>
            </w:r>
            <w:r w:rsidRPr="00072D50">
              <w:rPr>
                <w:rFonts w:ascii="等线" w:eastAsia="等线" w:hAnsi="Times New Roman"/>
                <w:color w:val="000000"/>
                <w:szCs w:val="21"/>
              </w:rPr>
              <w:tab/>
              <w:t xml:space="preserve">DEBT RESTRUCTURING AND LIABILITY MANAGEMENT </w:t>
            </w:r>
          </w:p>
          <w:p w14:paraId="252ACA4E" w14:textId="77777777" w:rsidR="00072D50" w:rsidRPr="00072D50" w:rsidRDefault="00072D50" w:rsidP="007177F3">
            <w:pPr>
              <w:rPr>
                <w:rFonts w:ascii="等线" w:eastAsia="等线" w:hAnsi="Times New Roman"/>
                <w:color w:val="000000"/>
                <w:szCs w:val="21"/>
              </w:rPr>
            </w:pPr>
            <w:r w:rsidRPr="00072D50">
              <w:rPr>
                <w:rFonts w:ascii="等线" w:eastAsia="等线" w:hAnsi="Times New Roman" w:hint="eastAsia"/>
                <w:color w:val="000000"/>
                <w:szCs w:val="21"/>
              </w:rPr>
              <w:t>•</w:t>
            </w:r>
            <w:r w:rsidRPr="00072D50">
              <w:rPr>
                <w:rFonts w:ascii="等线" w:eastAsia="等线" w:hAnsi="Times New Roman"/>
                <w:color w:val="000000"/>
                <w:szCs w:val="21"/>
              </w:rPr>
              <w:tab/>
              <w:t>INITIAL PUBLIC OFFERINGS (IPOS) AND GLOBAL EQUITY OFFERINGS</w:t>
            </w:r>
          </w:p>
          <w:p w14:paraId="396A7FE8" w14:textId="77777777" w:rsidR="00072D50" w:rsidRPr="00072D50" w:rsidRDefault="00072D50" w:rsidP="007177F3">
            <w:pPr>
              <w:rPr>
                <w:rFonts w:ascii="等线" w:eastAsia="等线" w:hAnsi="Times New Roman"/>
                <w:color w:val="000000"/>
                <w:szCs w:val="21"/>
              </w:rPr>
            </w:pPr>
            <w:r w:rsidRPr="00072D50">
              <w:rPr>
                <w:rFonts w:ascii="等线" w:eastAsia="等线" w:hAnsi="Times New Roman" w:hint="eastAsia"/>
                <w:color w:val="000000"/>
                <w:szCs w:val="21"/>
              </w:rPr>
              <w:t>•</w:t>
            </w:r>
            <w:r w:rsidRPr="00072D50">
              <w:rPr>
                <w:rFonts w:ascii="等线" w:eastAsia="等线" w:hAnsi="Times New Roman"/>
                <w:color w:val="000000"/>
                <w:szCs w:val="21"/>
              </w:rPr>
              <w:tab/>
              <w:t>CROSS-BORDER INVESTMENT AND FINANCING TRANSACTIONS</w:t>
            </w:r>
          </w:p>
          <w:p w14:paraId="475B2692" w14:textId="77777777" w:rsidR="00072D50" w:rsidRPr="00072D50" w:rsidRDefault="00072D50" w:rsidP="007177F3">
            <w:pPr>
              <w:rPr>
                <w:rFonts w:ascii="等线" w:eastAsia="等线" w:hAnsi="Times New Roman"/>
                <w:color w:val="000000"/>
                <w:szCs w:val="21"/>
              </w:rPr>
            </w:pPr>
            <w:r w:rsidRPr="00072D50">
              <w:rPr>
                <w:rFonts w:ascii="等线" w:eastAsia="等线" w:hAnsi="Times New Roman" w:hint="eastAsia"/>
                <w:color w:val="000000"/>
                <w:szCs w:val="21"/>
              </w:rPr>
              <w:t>•</w:t>
            </w:r>
            <w:r w:rsidRPr="00072D50">
              <w:rPr>
                <w:rFonts w:ascii="等线" w:eastAsia="等线" w:hAnsi="Times New Roman"/>
                <w:color w:val="000000"/>
                <w:szCs w:val="21"/>
              </w:rPr>
              <w:tab/>
              <w:t>DIGITAL ASSET AND FINTECH-RELATED ISSUANCES</w:t>
            </w:r>
          </w:p>
          <w:p w14:paraId="3C1ACACA" w14:textId="4C799537" w:rsidR="009465FB" w:rsidRPr="00C24D79" w:rsidRDefault="00072D50" w:rsidP="007177F3">
            <w:pPr>
              <w:rPr>
                <w:rFonts w:eastAsiaTheme="minorHAnsi"/>
                <w:color w:val="000000"/>
                <w:szCs w:val="21"/>
              </w:rPr>
            </w:pPr>
            <w:r w:rsidRPr="00072D50">
              <w:rPr>
                <w:rFonts w:ascii="等线" w:eastAsia="等线" w:hAnsi="Times New Roman" w:hint="eastAsia"/>
                <w:color w:val="000000"/>
                <w:szCs w:val="21"/>
              </w:rPr>
              <w:t>•</w:t>
            </w:r>
            <w:r w:rsidRPr="00072D50">
              <w:rPr>
                <w:rFonts w:ascii="等线" w:eastAsia="等线" w:hAnsi="Times New Roman"/>
                <w:color w:val="000000"/>
                <w:szCs w:val="21"/>
              </w:rPr>
              <w:tab/>
              <w:t>REGULATORY ADVISORY AND GENERAL CORPORATE MATTERS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E3757E1" w14:textId="77777777" w:rsidR="00072D50"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0F50436" w14:textId="77777777" w:rsidR="00072D50" w:rsidRDefault="00072D50" w:rsidP="00072D50">
      <w:pPr>
        <w:pStyle w:val="af5"/>
        <w:spacing w:after="0" w:line="480" w:lineRule="auto"/>
        <w:rPr>
          <w:rFonts w:ascii="等线" w:eastAsia="等线" w:hAnsi="等线"/>
          <w:b/>
          <w:sz w:val="24"/>
        </w:rPr>
      </w:pPr>
      <w:r w:rsidRPr="00072D50">
        <w:rPr>
          <w:rFonts w:ascii="等线" w:eastAsia="等线" w:hAnsi="等线"/>
          <w:b/>
          <w:sz w:val="24"/>
        </w:rPr>
        <w:t>REPRESENTATIVE MATTERS AND CASES</w:t>
      </w:r>
    </w:p>
    <w:p w14:paraId="3785E952" w14:textId="77777777" w:rsidR="00072D50" w:rsidRDefault="00072D50" w:rsidP="00072D50">
      <w:pPr>
        <w:pStyle w:val="af5"/>
        <w:spacing w:before="120"/>
        <w:rPr>
          <w:rFonts w:ascii="等线" w:eastAsia="等线" w:hAnsi="Times New Roman"/>
          <w:color w:val="000000"/>
        </w:rPr>
      </w:pPr>
      <w:r w:rsidRPr="00072D50">
        <w:rPr>
          <w:rFonts w:ascii="等线" w:eastAsia="等线" w:hAnsi="Times New Roman"/>
          <w:color w:val="000000"/>
        </w:rPr>
        <w:t>Investment-Grade Bond Offerings</w:t>
      </w:r>
    </w:p>
    <w:p w14:paraId="2C4CC65A" w14:textId="77777777" w:rsidR="00072D50" w:rsidRDefault="00072D50" w:rsidP="00072D50">
      <w:pPr>
        <w:pStyle w:val="af5"/>
        <w:spacing w:before="120"/>
        <w:rPr>
          <w:rFonts w:ascii="等线" w:eastAsia="等线" w:hAnsi="Times New Roman"/>
          <w:color w:val="000000"/>
        </w:rPr>
      </w:pPr>
      <w:r w:rsidRPr="00072D50">
        <w:rPr>
          <w:rFonts w:ascii="等线" w:eastAsia="等线" w:hAnsi="Times New Roman"/>
          <w:color w:val="000000"/>
        </w:rPr>
        <w:t>Advised numerous government entities, state-owned enterprises, local government financing platforms, and major corporations on offshore bond offerings, including:</w:t>
      </w:r>
      <w:r w:rsidRPr="00072D50">
        <w:rPr>
          <w:rFonts w:ascii="等线" w:eastAsia="等线" w:hAnsi="Times New Roman"/>
          <w:color w:val="000000"/>
        </w:rPr>
        <w:t> </w:t>
      </w:r>
      <w:r w:rsidRPr="00072D50">
        <w:rPr>
          <w:rFonts w:ascii="等线" w:eastAsia="等线" w:hAnsi="Times New Roman"/>
          <w:color w:val="000000"/>
        </w:rPr>
        <w:t xml:space="preserve"> Ministry of Finance of the PRC, Sinopec, CITIC Securities, East Money Information, Zhejiang Seaport Investment &amp; Operation Group, Temasek, Weichai Power, Geely Holding Group, Far East Horizon, Shandong Finance Group, TCL Technology, AVIC International, China Vanke, Dongxing Securities, Kunlun Energy, Poly Development, Zhongyuan Asset, Jinan Rail Transit Group, Jinan Energy Group, Shandong Commercial Group, Qingdao Jiaozhou City Development Group, Xi</w:t>
      </w:r>
      <w:r w:rsidRPr="00072D50">
        <w:rPr>
          <w:rFonts w:ascii="等线" w:eastAsia="等线" w:hAnsi="Times New Roman"/>
          <w:color w:val="000000"/>
        </w:rPr>
        <w:t>’</w:t>
      </w:r>
      <w:r w:rsidRPr="00072D50">
        <w:rPr>
          <w:rFonts w:ascii="等线" w:eastAsia="等线" w:hAnsi="Times New Roman"/>
          <w:color w:val="000000"/>
        </w:rPr>
        <w:t>an Aerospace Hi-tech Industrial Development, Xi</w:t>
      </w:r>
      <w:r w:rsidRPr="00072D50">
        <w:rPr>
          <w:rFonts w:ascii="等线" w:eastAsia="等线" w:hAnsi="Times New Roman"/>
          <w:color w:val="000000"/>
        </w:rPr>
        <w:t>’</w:t>
      </w:r>
      <w:r w:rsidRPr="00072D50">
        <w:rPr>
          <w:rFonts w:ascii="等线" w:eastAsia="等线" w:hAnsi="Times New Roman"/>
          <w:color w:val="000000"/>
        </w:rPr>
        <w:t>an Aviation City Construction &amp; Development Group, Ningbo Yincheng Group, Yuyao Economic Development Group, Wuxi Industry Development Group, Tongling Development Investment Group, Huai</w:t>
      </w:r>
      <w:r w:rsidRPr="00072D50">
        <w:rPr>
          <w:rFonts w:ascii="等线" w:eastAsia="等线" w:hAnsi="Times New Roman"/>
          <w:color w:val="000000"/>
        </w:rPr>
        <w:t>’</w:t>
      </w:r>
      <w:r w:rsidRPr="00072D50">
        <w:rPr>
          <w:rFonts w:ascii="等线" w:eastAsia="等线" w:hAnsi="Times New Roman"/>
          <w:color w:val="000000"/>
        </w:rPr>
        <w:t>an Transportation Holding, Huai</w:t>
      </w:r>
      <w:r w:rsidRPr="00072D50">
        <w:rPr>
          <w:rFonts w:ascii="等线" w:eastAsia="等线" w:hAnsi="Times New Roman"/>
          <w:color w:val="000000"/>
        </w:rPr>
        <w:t>’</w:t>
      </w:r>
      <w:r w:rsidRPr="00072D50">
        <w:rPr>
          <w:rFonts w:ascii="等线" w:eastAsia="等线" w:hAnsi="Times New Roman"/>
          <w:color w:val="000000"/>
        </w:rPr>
        <w:t>an Investment Holding Group, Jiangsu Kewei Group, Fugang Construction, Suzhou Industrial Investment, and Chongqing Fuling Development Group.</w:t>
      </w:r>
    </w:p>
    <w:p w14:paraId="3FBB9676" w14:textId="77777777" w:rsidR="00072D50" w:rsidRDefault="00072D50" w:rsidP="00072D50">
      <w:pPr>
        <w:pStyle w:val="af5"/>
        <w:spacing w:before="120"/>
        <w:rPr>
          <w:rFonts w:ascii="等线" w:eastAsia="等线" w:hAnsi="Times New Roman"/>
          <w:color w:val="000000"/>
        </w:rPr>
      </w:pPr>
      <w:r w:rsidRPr="00072D50">
        <w:rPr>
          <w:rFonts w:ascii="等线" w:eastAsia="等线" w:hAnsi="Times New Roman"/>
          <w:color w:val="000000"/>
        </w:rPr>
        <w:t>High Yield Bond Offerings</w:t>
      </w:r>
    </w:p>
    <w:p w14:paraId="79CD5AFA" w14:textId="77777777" w:rsidR="00072D50" w:rsidRDefault="00072D50" w:rsidP="00072D50">
      <w:pPr>
        <w:pStyle w:val="af5"/>
        <w:spacing w:before="120"/>
        <w:rPr>
          <w:rFonts w:ascii="等线" w:eastAsia="等线" w:hAnsi="Times New Roman"/>
          <w:color w:val="000000"/>
        </w:rPr>
      </w:pPr>
      <w:r w:rsidRPr="00072D50">
        <w:rPr>
          <w:rFonts w:ascii="等线" w:eastAsia="等线" w:hAnsi="Times New Roman"/>
          <w:color w:val="000000"/>
        </w:rPr>
        <w:t xml:space="preserve">Advised numerous companies on high-yield bond offerings, including: Sunac China, Central China Real Estate, Aoyuan Property Group, Redsun Properties, China Oceanwide Holdings, Excellence Property Group, Agile Group, China Hongqiao Group, CIFI Holdings, KWG Group Holdings, Glory Property, Longfor Properties, Nexteer Automotive Group, Shui On Land, West </w:t>
      </w:r>
      <w:r w:rsidRPr="00072D50">
        <w:rPr>
          <w:rFonts w:ascii="等线" w:eastAsia="等线" w:hAnsi="Times New Roman"/>
          <w:color w:val="000000"/>
        </w:rPr>
        <w:lastRenderedPageBreak/>
        <w:t>China Cement, and Xinhu Zhongbao.</w:t>
      </w:r>
    </w:p>
    <w:p w14:paraId="7B28ABBC" w14:textId="77777777" w:rsidR="00072D50" w:rsidRDefault="00072D50" w:rsidP="00072D50">
      <w:pPr>
        <w:pStyle w:val="af5"/>
        <w:spacing w:before="120"/>
        <w:rPr>
          <w:rFonts w:ascii="等线" w:eastAsia="等线" w:hAnsi="Times New Roman"/>
          <w:color w:val="000000"/>
        </w:rPr>
      </w:pPr>
      <w:r w:rsidRPr="00072D50">
        <w:rPr>
          <w:rFonts w:ascii="等线" w:eastAsia="等线" w:hAnsi="Times New Roman"/>
          <w:color w:val="000000"/>
        </w:rPr>
        <w:t>Debt Restructuring and Liability Management</w:t>
      </w:r>
    </w:p>
    <w:p w14:paraId="7976EFFC" w14:textId="77777777" w:rsidR="00072D50" w:rsidRDefault="00072D50" w:rsidP="00072D50">
      <w:pPr>
        <w:pStyle w:val="af5"/>
        <w:spacing w:before="120"/>
        <w:rPr>
          <w:rFonts w:ascii="等线" w:eastAsia="等线" w:hAnsi="Times New Roman"/>
          <w:color w:val="000000"/>
        </w:rPr>
      </w:pPr>
      <w:r w:rsidRPr="00072D50">
        <w:rPr>
          <w:rFonts w:ascii="等线" w:eastAsia="等线" w:hAnsi="Times New Roman"/>
          <w:color w:val="000000"/>
        </w:rPr>
        <w:t>Participated in multiple debt restructuring and liability management projects, including: Yuyao Economic Development Group</w:t>
      </w:r>
      <w:r w:rsidRPr="00072D50">
        <w:rPr>
          <w:rFonts w:ascii="等线" w:eastAsia="等线" w:hAnsi="Times New Roman"/>
          <w:color w:val="000000"/>
        </w:rPr>
        <w:t>’</w:t>
      </w:r>
      <w:r w:rsidRPr="00072D50">
        <w:rPr>
          <w:rFonts w:ascii="等线" w:eastAsia="等线" w:hAnsi="Times New Roman"/>
          <w:color w:val="000000"/>
        </w:rPr>
        <w:t>s tender offer; Central China Real Estate</w:t>
      </w:r>
      <w:r w:rsidRPr="00072D50">
        <w:rPr>
          <w:rFonts w:ascii="等线" w:eastAsia="等线" w:hAnsi="Times New Roman"/>
          <w:color w:val="000000"/>
        </w:rPr>
        <w:t>’</w:t>
      </w:r>
      <w:r w:rsidRPr="00072D50">
        <w:rPr>
          <w:rFonts w:ascii="等线" w:eastAsia="等线" w:hAnsi="Times New Roman"/>
          <w:color w:val="000000"/>
        </w:rPr>
        <w:t>s consent solicitation and note repurchase; China Evergrande Group</w:t>
      </w:r>
      <w:r w:rsidRPr="00072D50">
        <w:rPr>
          <w:rFonts w:ascii="等线" w:eastAsia="等线" w:hAnsi="Times New Roman"/>
          <w:color w:val="000000"/>
        </w:rPr>
        <w:t>’</w:t>
      </w:r>
      <w:r w:rsidRPr="00072D50">
        <w:rPr>
          <w:rFonts w:ascii="等线" w:eastAsia="等线" w:hAnsi="Times New Roman"/>
          <w:color w:val="000000"/>
        </w:rPr>
        <w:t>s consent solicitation; China High Speed Transmission Equipment</w:t>
      </w:r>
      <w:r w:rsidRPr="00072D50">
        <w:rPr>
          <w:rFonts w:ascii="等线" w:eastAsia="等线" w:hAnsi="Times New Roman"/>
          <w:color w:val="000000"/>
        </w:rPr>
        <w:t>’</w:t>
      </w:r>
      <w:r w:rsidRPr="00072D50">
        <w:rPr>
          <w:rFonts w:ascii="等线" w:eastAsia="等线" w:hAnsi="Times New Roman"/>
          <w:color w:val="000000"/>
        </w:rPr>
        <w:t>s note tender offer; SOHO China</w:t>
      </w:r>
      <w:r w:rsidRPr="00072D50">
        <w:rPr>
          <w:rFonts w:ascii="等线" w:eastAsia="等线" w:hAnsi="Times New Roman"/>
          <w:color w:val="000000"/>
        </w:rPr>
        <w:t>’</w:t>
      </w:r>
      <w:r w:rsidRPr="00072D50">
        <w:rPr>
          <w:rFonts w:ascii="等线" w:eastAsia="等线" w:hAnsi="Times New Roman"/>
          <w:color w:val="000000"/>
        </w:rPr>
        <w:t>s consent solicitation; Sunac China</w:t>
      </w:r>
      <w:r w:rsidRPr="00072D50">
        <w:rPr>
          <w:rFonts w:ascii="等线" w:eastAsia="等线" w:hAnsi="Times New Roman"/>
          <w:color w:val="000000"/>
        </w:rPr>
        <w:t>’</w:t>
      </w:r>
      <w:r w:rsidRPr="00072D50">
        <w:rPr>
          <w:rFonts w:ascii="等线" w:eastAsia="等线" w:hAnsi="Times New Roman"/>
          <w:color w:val="000000"/>
        </w:rPr>
        <w:t>s consent solicitation; and Winsway Coking Coal</w:t>
      </w:r>
      <w:r w:rsidRPr="00072D50">
        <w:rPr>
          <w:rFonts w:ascii="等线" w:eastAsia="等线" w:hAnsi="Times New Roman"/>
          <w:color w:val="000000"/>
        </w:rPr>
        <w:t>’</w:t>
      </w:r>
      <w:r w:rsidRPr="00072D50">
        <w:rPr>
          <w:rFonts w:ascii="等线" w:eastAsia="等线" w:hAnsi="Times New Roman"/>
          <w:color w:val="000000"/>
        </w:rPr>
        <w:t>s tender offer and consent solicitation.</w:t>
      </w:r>
    </w:p>
    <w:p w14:paraId="42BCCB4E" w14:textId="77777777" w:rsidR="00072D50" w:rsidRDefault="00072D50" w:rsidP="00072D50">
      <w:pPr>
        <w:pStyle w:val="af5"/>
        <w:spacing w:before="120"/>
        <w:rPr>
          <w:rFonts w:ascii="等线" w:eastAsia="等线" w:hAnsi="Times New Roman"/>
          <w:color w:val="000000"/>
        </w:rPr>
      </w:pPr>
      <w:r w:rsidRPr="00072D50">
        <w:rPr>
          <w:rFonts w:ascii="等线" w:eastAsia="等线" w:hAnsi="Times New Roman"/>
          <w:color w:val="000000"/>
        </w:rPr>
        <w:t>Hong Kong Listings and Global Offerings</w:t>
      </w:r>
    </w:p>
    <w:p w14:paraId="3FFD7EF5" w14:textId="77777777" w:rsidR="00072D50" w:rsidRDefault="00072D50" w:rsidP="00072D50">
      <w:pPr>
        <w:pStyle w:val="af5"/>
        <w:spacing w:before="120"/>
        <w:rPr>
          <w:rFonts w:ascii="等线" w:eastAsia="等线" w:hAnsi="Times New Roman"/>
          <w:color w:val="000000"/>
        </w:rPr>
      </w:pPr>
      <w:r w:rsidRPr="00072D50">
        <w:rPr>
          <w:rFonts w:ascii="等线" w:eastAsia="等线" w:hAnsi="Times New Roman"/>
          <w:color w:val="000000"/>
        </w:rPr>
        <w:t>Advised on Hong Kong listings and global offerings for:</w:t>
      </w:r>
      <w:r w:rsidRPr="00072D50">
        <w:rPr>
          <w:rFonts w:ascii="等线" w:eastAsia="等线" w:hAnsi="Times New Roman"/>
          <w:color w:val="000000"/>
        </w:rPr>
        <w:t> </w:t>
      </w:r>
      <w:r w:rsidRPr="00072D50">
        <w:rPr>
          <w:rFonts w:ascii="等线" w:eastAsia="等线" w:hAnsi="Times New Roman"/>
          <w:color w:val="000000"/>
        </w:rPr>
        <w:t xml:space="preserve"> Agricultural Bank of China, Industrial and Commercial Bank of China, China Merchants Bank, China Construction Bank, People</w:t>
      </w:r>
      <w:r w:rsidRPr="00072D50">
        <w:rPr>
          <w:rFonts w:ascii="等线" w:eastAsia="等线" w:hAnsi="Times New Roman"/>
          <w:color w:val="000000"/>
        </w:rPr>
        <w:t>’</w:t>
      </w:r>
      <w:r w:rsidRPr="00072D50">
        <w:rPr>
          <w:rFonts w:ascii="等线" w:eastAsia="等线" w:hAnsi="Times New Roman"/>
          <w:color w:val="000000"/>
        </w:rPr>
        <w:t>s Insurance Company (Group) of China, CDB Leasing, Guangzhou Rural Commercial Bank, Longfor Properties, China Flooring Holding, Renhe Commercial Holdings, and SinoMedia Group.</w:t>
      </w:r>
    </w:p>
    <w:p w14:paraId="2B7985F0" w14:textId="77777777" w:rsidR="00072D50" w:rsidRDefault="00072D50" w:rsidP="00072D50">
      <w:pPr>
        <w:pStyle w:val="af5"/>
        <w:spacing w:before="120"/>
        <w:rPr>
          <w:rFonts w:ascii="等线" w:eastAsia="等线" w:hAnsi="Times New Roman"/>
          <w:color w:val="000000"/>
        </w:rPr>
      </w:pPr>
      <w:r w:rsidRPr="00072D50">
        <w:rPr>
          <w:rFonts w:ascii="等线" w:eastAsia="等线" w:hAnsi="Times New Roman"/>
          <w:color w:val="000000"/>
        </w:rPr>
        <w:t>U.S. Listings and ADS Offerings</w:t>
      </w:r>
    </w:p>
    <w:p w14:paraId="4395E9BA" w14:textId="77777777" w:rsidR="00072D50" w:rsidRDefault="00072D50" w:rsidP="00072D50">
      <w:pPr>
        <w:pStyle w:val="af5"/>
        <w:spacing w:before="120"/>
        <w:rPr>
          <w:rFonts w:ascii="等线" w:eastAsia="等线" w:hAnsi="Times New Roman"/>
          <w:color w:val="000000"/>
        </w:rPr>
      </w:pPr>
      <w:r w:rsidRPr="00072D50">
        <w:rPr>
          <w:rFonts w:ascii="等线" w:eastAsia="等线" w:hAnsi="Times New Roman"/>
          <w:color w:val="000000"/>
        </w:rPr>
        <w:t>Advised on U.S. IPOs and follow-on ADS offerings for:</w:t>
      </w:r>
    </w:p>
    <w:p w14:paraId="4A431094" w14:textId="77777777" w:rsidR="00072D50" w:rsidRDefault="00072D50" w:rsidP="00072D50">
      <w:pPr>
        <w:pStyle w:val="af5"/>
        <w:spacing w:before="120"/>
        <w:rPr>
          <w:rFonts w:ascii="等线" w:eastAsia="等线" w:hAnsi="Times New Roman"/>
          <w:color w:val="000000"/>
        </w:rPr>
      </w:pPr>
      <w:r w:rsidRPr="00072D50">
        <w:rPr>
          <w:rFonts w:ascii="等线" w:eastAsia="等线" w:hAnsi="Times New Roman"/>
          <w:color w:val="000000"/>
        </w:rPr>
        <w:t>Baidu, 51job, Cheetah Mobile, AU Optronics, Spreadtrum Communications, The9, Shanda Group, and Himax Technologies.</w:t>
      </w:r>
    </w:p>
    <w:p w14:paraId="04F646DD" w14:textId="77777777" w:rsidR="00072D50" w:rsidRDefault="00072D50" w:rsidP="00072D50">
      <w:pPr>
        <w:pStyle w:val="af5"/>
        <w:spacing w:before="120"/>
        <w:rPr>
          <w:rFonts w:ascii="等线" w:eastAsia="等线" w:hAnsi="Times New Roman"/>
          <w:color w:val="000000"/>
        </w:rPr>
      </w:pPr>
      <w:r w:rsidRPr="00072D50">
        <w:rPr>
          <w:rFonts w:ascii="等线" w:eastAsia="等线" w:hAnsi="Times New Roman"/>
          <w:color w:val="000000"/>
        </w:rPr>
        <w:t>Equity-Linked Transactions</w:t>
      </w:r>
    </w:p>
    <w:p w14:paraId="6FD7AF59" w14:textId="77777777" w:rsidR="00072D50" w:rsidRDefault="00072D50" w:rsidP="00072D50">
      <w:pPr>
        <w:pStyle w:val="af5"/>
        <w:spacing w:before="120"/>
        <w:rPr>
          <w:rFonts w:ascii="等线" w:eastAsia="等线" w:hAnsi="Times New Roman"/>
          <w:color w:val="000000"/>
        </w:rPr>
      </w:pPr>
      <w:r w:rsidRPr="00072D50">
        <w:rPr>
          <w:rFonts w:ascii="等线" w:eastAsia="等线" w:hAnsi="Times New Roman"/>
          <w:color w:val="000000"/>
        </w:rPr>
        <w:t>Counseled on a range of equity-linked deals, including: China Merchants Bank</w:t>
      </w:r>
      <w:r w:rsidRPr="00072D50">
        <w:rPr>
          <w:rFonts w:ascii="等线" w:eastAsia="等线" w:hAnsi="Times New Roman"/>
          <w:color w:val="000000"/>
        </w:rPr>
        <w:t>’</w:t>
      </w:r>
      <w:r w:rsidRPr="00072D50">
        <w:rPr>
          <w:rFonts w:ascii="等线" w:eastAsia="等线" w:hAnsi="Times New Roman"/>
          <w:color w:val="000000"/>
        </w:rPr>
        <w:t>s rights offering; NQ Mobile</w:t>
      </w:r>
      <w:r w:rsidRPr="00072D50">
        <w:rPr>
          <w:rFonts w:ascii="等线" w:eastAsia="等线" w:hAnsi="Times New Roman"/>
          <w:color w:val="000000"/>
        </w:rPr>
        <w:t>’</w:t>
      </w:r>
      <w:r w:rsidRPr="00072D50">
        <w:rPr>
          <w:rFonts w:ascii="等线" w:eastAsia="等线" w:hAnsi="Times New Roman"/>
          <w:color w:val="000000"/>
        </w:rPr>
        <w:t>s convertible bond offering; preference share offerings by Guangzhou Rural Commercial Bank and Zhengzhou Bank; and SEC-registered shelf takedowns by The Korea Development Bank and The Export-Import Bank of Korea.</w:t>
      </w:r>
    </w:p>
    <w:p w14:paraId="1CC85724" w14:textId="77777777" w:rsidR="00072D50" w:rsidRDefault="00072D50" w:rsidP="00072D50">
      <w:pPr>
        <w:pStyle w:val="af5"/>
        <w:spacing w:before="120"/>
        <w:rPr>
          <w:rFonts w:ascii="等线" w:eastAsia="等线" w:hAnsi="Times New Roman"/>
          <w:color w:val="000000"/>
        </w:rPr>
      </w:pPr>
      <w:r w:rsidRPr="00072D50">
        <w:rPr>
          <w:rFonts w:ascii="等线" w:eastAsia="等线" w:hAnsi="Times New Roman"/>
          <w:color w:val="000000"/>
        </w:rPr>
        <w:t>Mergers and Acquisitions</w:t>
      </w:r>
    </w:p>
    <w:p w14:paraId="3DBEAA34" w14:textId="77777777" w:rsidR="00072D50" w:rsidRDefault="00072D50" w:rsidP="00072D50">
      <w:pPr>
        <w:pStyle w:val="af5"/>
        <w:spacing w:before="120"/>
        <w:rPr>
          <w:rFonts w:ascii="等线" w:eastAsia="等线" w:hAnsi="Times New Roman"/>
          <w:color w:val="000000"/>
        </w:rPr>
      </w:pPr>
      <w:r w:rsidRPr="00072D50">
        <w:rPr>
          <w:rFonts w:ascii="等线" w:eastAsia="等线" w:hAnsi="Times New Roman"/>
          <w:color w:val="000000"/>
        </w:rPr>
        <w:t>Advised on major cross-border M&amp;A transactions, including:</w:t>
      </w:r>
      <w:r w:rsidRPr="00072D50">
        <w:rPr>
          <w:rFonts w:ascii="等线" w:eastAsia="等线" w:hAnsi="Times New Roman"/>
          <w:color w:val="000000"/>
        </w:rPr>
        <w:t> </w:t>
      </w:r>
      <w:r w:rsidRPr="00072D50">
        <w:rPr>
          <w:rFonts w:ascii="等线" w:eastAsia="等线" w:hAnsi="Times New Roman"/>
          <w:color w:val="000000"/>
        </w:rPr>
        <w:t xml:space="preserve"> BearingPoint</w:t>
      </w:r>
      <w:r w:rsidRPr="00072D50">
        <w:rPr>
          <w:rFonts w:ascii="等线" w:eastAsia="等线" w:hAnsi="Times New Roman"/>
          <w:color w:val="000000"/>
        </w:rPr>
        <w:t>’</w:t>
      </w:r>
      <w:r w:rsidRPr="00072D50">
        <w:rPr>
          <w:rFonts w:ascii="等线" w:eastAsia="等线" w:hAnsi="Times New Roman"/>
          <w:color w:val="000000"/>
        </w:rPr>
        <w:t>s sale of its Indian assets to PricewaterhouseCoopers; China Investment Corporation</w:t>
      </w:r>
      <w:r w:rsidRPr="00072D50">
        <w:rPr>
          <w:rFonts w:ascii="等线" w:eastAsia="等线" w:hAnsi="Times New Roman"/>
          <w:color w:val="000000"/>
        </w:rPr>
        <w:t>’</w:t>
      </w:r>
      <w:r w:rsidRPr="00072D50">
        <w:rPr>
          <w:rFonts w:ascii="等线" w:eastAsia="等线" w:hAnsi="Times New Roman"/>
          <w:color w:val="000000"/>
        </w:rPr>
        <w:t>s investment in PT Bumi Resources; strategic investments by Goldman Sachs, Allianz, and American Express in Industrial and Commercial Bank of China; Shanda Interactive Entertainment</w:t>
      </w:r>
      <w:r w:rsidRPr="00072D50">
        <w:rPr>
          <w:rFonts w:ascii="等线" w:eastAsia="等线" w:hAnsi="Times New Roman"/>
          <w:color w:val="000000"/>
        </w:rPr>
        <w:t>’</w:t>
      </w:r>
      <w:r w:rsidRPr="00072D50">
        <w:rPr>
          <w:rFonts w:ascii="等线" w:eastAsia="等线" w:hAnsi="Times New Roman"/>
          <w:color w:val="000000"/>
        </w:rPr>
        <w:t>s partial tender offer for Hurray! Holding; and the Federal Reserve</w:t>
      </w:r>
      <w:r w:rsidRPr="00072D50">
        <w:rPr>
          <w:rFonts w:ascii="等线" w:eastAsia="等线" w:hAnsi="Times New Roman"/>
          <w:color w:val="000000"/>
        </w:rPr>
        <w:t>’</w:t>
      </w:r>
      <w:r w:rsidRPr="00072D50">
        <w:rPr>
          <w:rFonts w:ascii="等线" w:eastAsia="等线" w:hAnsi="Times New Roman"/>
          <w:color w:val="000000"/>
        </w:rPr>
        <w:t>s acquisition of AIA</w:t>
      </w:r>
      <w:r w:rsidRPr="00072D50">
        <w:rPr>
          <w:rFonts w:ascii="等线" w:eastAsia="等线" w:hAnsi="Times New Roman"/>
          <w:color w:val="000000"/>
        </w:rPr>
        <w:t>’</w:t>
      </w:r>
      <w:r w:rsidRPr="00072D50">
        <w:rPr>
          <w:rFonts w:ascii="等线" w:eastAsia="等线" w:hAnsi="Times New Roman"/>
          <w:color w:val="000000"/>
        </w:rPr>
        <w:t>s priority interests through a debt-for-equity swap with AIG.</w:t>
      </w:r>
    </w:p>
    <w:p w14:paraId="59EA1F73" w14:textId="77777777" w:rsidR="00072D50" w:rsidRDefault="00072D50" w:rsidP="00072D50">
      <w:pPr>
        <w:pStyle w:val="af5"/>
        <w:spacing w:after="0" w:line="480" w:lineRule="auto"/>
        <w:rPr>
          <w:rFonts w:ascii="等线" w:eastAsia="等线" w:hAnsi="等线"/>
          <w:b/>
          <w:sz w:val="24"/>
        </w:rPr>
      </w:pPr>
      <w:r w:rsidRPr="00072D50">
        <w:rPr>
          <w:rFonts w:ascii="等线" w:eastAsia="等线" w:hAnsi="等线"/>
          <w:b/>
          <w:sz w:val="24"/>
        </w:rPr>
        <w:t>Education</w:t>
      </w:r>
    </w:p>
    <w:p w14:paraId="3031AB6A" w14:textId="77777777" w:rsidR="00072D50" w:rsidRDefault="00072D50" w:rsidP="00072D50">
      <w:pPr>
        <w:pStyle w:val="af5"/>
        <w:numPr>
          <w:ilvl w:val="0"/>
          <w:numId w:val="4"/>
        </w:numPr>
        <w:spacing w:before="120"/>
        <w:ind w:left="690" w:hanging="240"/>
        <w:rPr>
          <w:rFonts w:ascii="等线" w:eastAsia="等线" w:hAnsi="Times New Roman"/>
          <w:color w:val="000000"/>
        </w:rPr>
      </w:pPr>
      <w:r w:rsidRPr="00072D50">
        <w:rPr>
          <w:rFonts w:ascii="等线" w:eastAsia="等线" w:hAnsi="Times New Roman"/>
          <w:color w:val="000000"/>
        </w:rPr>
        <w:t>New York University, School of Law, LL.M</w:t>
      </w:r>
    </w:p>
    <w:p w14:paraId="55D432F2" w14:textId="77777777" w:rsidR="00072D50" w:rsidRDefault="00072D50" w:rsidP="00072D50">
      <w:pPr>
        <w:pStyle w:val="af5"/>
        <w:numPr>
          <w:ilvl w:val="0"/>
          <w:numId w:val="5"/>
        </w:numPr>
        <w:spacing w:before="120"/>
        <w:ind w:left="690" w:hanging="240"/>
        <w:rPr>
          <w:rFonts w:ascii="等线" w:eastAsia="等线" w:hAnsi="Times New Roman"/>
          <w:color w:val="000000"/>
        </w:rPr>
      </w:pPr>
      <w:r w:rsidRPr="00072D50">
        <w:rPr>
          <w:rFonts w:ascii="等线" w:eastAsia="等线" w:hAnsi="Times New Roman"/>
          <w:color w:val="000000"/>
        </w:rPr>
        <w:t>City University of Hong Kong, School of Law, M.Phil</w:t>
      </w:r>
    </w:p>
    <w:p w14:paraId="0D7DF5E6" w14:textId="77777777" w:rsidR="00072D50" w:rsidRDefault="00072D50" w:rsidP="00072D50">
      <w:pPr>
        <w:pStyle w:val="af5"/>
        <w:numPr>
          <w:ilvl w:val="0"/>
          <w:numId w:val="6"/>
        </w:numPr>
        <w:spacing w:before="120"/>
        <w:ind w:left="690" w:hanging="240"/>
        <w:rPr>
          <w:rFonts w:ascii="等线" w:eastAsia="等线" w:hAnsi="Times New Roman"/>
          <w:color w:val="000000"/>
        </w:rPr>
      </w:pPr>
      <w:r w:rsidRPr="00072D50">
        <w:rPr>
          <w:rFonts w:ascii="等线" w:eastAsia="等线" w:hAnsi="Times New Roman"/>
          <w:color w:val="000000"/>
        </w:rPr>
        <w:t>Shanghai University of International Business and Economics, School of Law, LL.B</w:t>
      </w:r>
    </w:p>
    <w:p w14:paraId="4740E49C" w14:textId="77777777" w:rsidR="00072D50" w:rsidRDefault="00072D50" w:rsidP="00072D50">
      <w:pPr>
        <w:pStyle w:val="af5"/>
        <w:numPr>
          <w:ilvl w:val="0"/>
          <w:numId w:val="7"/>
        </w:numPr>
        <w:spacing w:before="120"/>
        <w:ind w:left="690" w:hanging="240"/>
        <w:rPr>
          <w:rFonts w:ascii="等线" w:eastAsia="等线" w:hAnsi="Times New Roman"/>
          <w:color w:val="000000"/>
        </w:rPr>
      </w:pPr>
      <w:r w:rsidRPr="00072D50">
        <w:rPr>
          <w:rFonts w:ascii="等线" w:eastAsia="等线" w:hAnsi="Times New Roman"/>
          <w:color w:val="000000"/>
        </w:rPr>
        <w:t>Sydney Law School, Visiting Scholar</w:t>
      </w:r>
    </w:p>
    <w:p w14:paraId="26FDFFF2" w14:textId="77777777" w:rsidR="00072D50" w:rsidRDefault="00072D50" w:rsidP="00072D50">
      <w:pPr>
        <w:pStyle w:val="af5"/>
        <w:spacing w:after="0" w:line="480" w:lineRule="auto"/>
        <w:rPr>
          <w:rFonts w:ascii="等线" w:eastAsia="等线" w:hAnsi="等线"/>
          <w:b/>
          <w:sz w:val="24"/>
        </w:rPr>
      </w:pPr>
      <w:r w:rsidRPr="00072D50">
        <w:rPr>
          <w:rFonts w:ascii="等线" w:eastAsia="等线" w:hAnsi="等线"/>
          <w:b/>
          <w:sz w:val="24"/>
        </w:rPr>
        <w:t>Professional Qualification</w:t>
      </w:r>
    </w:p>
    <w:p w14:paraId="05D1E31F" w14:textId="77777777" w:rsidR="00072D50" w:rsidRDefault="00072D50" w:rsidP="00072D50">
      <w:pPr>
        <w:pStyle w:val="af5"/>
        <w:numPr>
          <w:ilvl w:val="0"/>
          <w:numId w:val="8"/>
        </w:numPr>
        <w:spacing w:before="120"/>
        <w:ind w:left="690" w:hanging="240"/>
        <w:rPr>
          <w:rFonts w:ascii="等线" w:eastAsia="等线" w:hAnsi="Times New Roman"/>
          <w:color w:val="000000"/>
        </w:rPr>
      </w:pPr>
      <w:r w:rsidRPr="00072D50">
        <w:rPr>
          <w:rFonts w:ascii="等线" w:eastAsia="等线" w:hAnsi="Times New Roman"/>
          <w:color w:val="000000"/>
        </w:rPr>
        <w:t>Admitted to practice in Hong Kong SAR</w:t>
      </w:r>
    </w:p>
    <w:p w14:paraId="589F0DC7" w14:textId="77777777" w:rsidR="00072D50" w:rsidRDefault="00072D50" w:rsidP="00072D50">
      <w:pPr>
        <w:pStyle w:val="af5"/>
        <w:numPr>
          <w:ilvl w:val="0"/>
          <w:numId w:val="9"/>
        </w:numPr>
        <w:spacing w:before="120"/>
        <w:ind w:left="690" w:hanging="240"/>
        <w:rPr>
          <w:rFonts w:ascii="等线" w:eastAsia="等线" w:hAnsi="Times New Roman"/>
          <w:color w:val="000000"/>
        </w:rPr>
      </w:pPr>
      <w:r w:rsidRPr="00072D50">
        <w:rPr>
          <w:rFonts w:ascii="等线" w:eastAsia="等线" w:hAnsi="Times New Roman"/>
          <w:color w:val="000000"/>
        </w:rPr>
        <w:t>Admitted to practice in the PRC</w:t>
      </w:r>
    </w:p>
    <w:p w14:paraId="2D7D8E21" w14:textId="77777777" w:rsidR="00072D50" w:rsidRDefault="00072D50" w:rsidP="00072D50">
      <w:pPr>
        <w:pStyle w:val="af5"/>
        <w:numPr>
          <w:ilvl w:val="0"/>
          <w:numId w:val="10"/>
        </w:numPr>
        <w:spacing w:before="120"/>
        <w:ind w:left="690" w:hanging="240"/>
        <w:rPr>
          <w:rFonts w:ascii="等线" w:eastAsia="等线" w:hAnsi="Times New Roman"/>
          <w:color w:val="000000"/>
        </w:rPr>
      </w:pPr>
      <w:r w:rsidRPr="00072D50">
        <w:rPr>
          <w:rFonts w:ascii="等线" w:eastAsia="等线" w:hAnsi="Times New Roman"/>
          <w:color w:val="000000"/>
        </w:rPr>
        <w:t>Admitted to practice in New York</w:t>
      </w:r>
    </w:p>
    <w:p w14:paraId="6E9AA764" w14:textId="77777777" w:rsidR="00072D50" w:rsidRDefault="00072D50" w:rsidP="00072D50">
      <w:pPr>
        <w:pStyle w:val="af5"/>
        <w:spacing w:after="0" w:line="480" w:lineRule="auto"/>
        <w:rPr>
          <w:rFonts w:ascii="等线" w:eastAsia="等线" w:hAnsi="等线"/>
          <w:b/>
          <w:sz w:val="24"/>
        </w:rPr>
      </w:pPr>
      <w:r w:rsidRPr="00072D50">
        <w:rPr>
          <w:rFonts w:ascii="等线" w:eastAsia="等线" w:hAnsi="等线"/>
          <w:b/>
          <w:sz w:val="24"/>
        </w:rPr>
        <w:t>Professional Background</w:t>
      </w:r>
    </w:p>
    <w:p w14:paraId="5D4EFAB6" w14:textId="77777777" w:rsidR="00072D50" w:rsidRDefault="00072D50" w:rsidP="00072D50">
      <w:pPr>
        <w:pStyle w:val="af5"/>
        <w:numPr>
          <w:ilvl w:val="0"/>
          <w:numId w:val="11"/>
        </w:numPr>
        <w:spacing w:before="120"/>
        <w:ind w:left="690" w:hanging="240"/>
        <w:rPr>
          <w:rFonts w:ascii="等线" w:eastAsia="等线" w:hAnsi="Times New Roman"/>
          <w:color w:val="000000"/>
        </w:rPr>
      </w:pPr>
      <w:r w:rsidRPr="00072D50">
        <w:rPr>
          <w:rFonts w:ascii="等线" w:eastAsia="等线" w:hAnsi="Times New Roman"/>
          <w:color w:val="000000"/>
        </w:rPr>
        <w:t>Annie Shen is a seasoned lawyer with over 20 years of experience advising global financial institutions, leading SOEs, and major corporates. Qualified in Hong Kong, New York, and mainland China, she specializes in bond offerings, debt restructurings, IPOs, financial regulatory matters and digital asset transactions. She combines deep regulatory expertise with innovative approaches to cross-border financial structuring, helping clients navigate complex legal frameworks.</w:t>
      </w:r>
    </w:p>
    <w:p w14:paraId="06623DB1" w14:textId="77777777" w:rsidR="00072D50" w:rsidRDefault="00072D50" w:rsidP="00072D50">
      <w:pPr>
        <w:pStyle w:val="af5"/>
        <w:numPr>
          <w:ilvl w:val="0"/>
          <w:numId w:val="12"/>
        </w:numPr>
        <w:spacing w:before="120"/>
        <w:ind w:left="690" w:hanging="240"/>
        <w:rPr>
          <w:rFonts w:ascii="等线" w:eastAsia="等线" w:hAnsi="Times New Roman"/>
          <w:color w:val="000000"/>
        </w:rPr>
      </w:pPr>
      <w:r w:rsidRPr="00072D50">
        <w:rPr>
          <w:rFonts w:ascii="等线" w:eastAsia="等线" w:hAnsi="Times New Roman"/>
          <w:color w:val="000000"/>
        </w:rPr>
        <w:t xml:space="preserve">Ms. Shen is a frequent contributor to legislative consultations and global financial forums, offering practical insights into policy and implementation. Her work has earned consistent recognition from IFLR1000 as a </w:t>
      </w:r>
      <w:r w:rsidRPr="00072D50">
        <w:rPr>
          <w:rFonts w:ascii="等线" w:eastAsia="等线" w:hAnsi="Times New Roman"/>
          <w:color w:val="000000"/>
        </w:rPr>
        <w:t>“</w:t>
      </w:r>
      <w:r w:rsidRPr="00072D50">
        <w:rPr>
          <w:rFonts w:ascii="等线" w:eastAsia="等线" w:hAnsi="Times New Roman"/>
          <w:color w:val="000000"/>
        </w:rPr>
        <w:t>Women Leader</w:t>
      </w:r>
      <w:r w:rsidRPr="00072D50">
        <w:rPr>
          <w:rFonts w:ascii="等线" w:eastAsia="等线" w:hAnsi="Times New Roman"/>
          <w:color w:val="000000"/>
        </w:rPr>
        <w:t>”</w:t>
      </w:r>
      <w:r w:rsidRPr="00072D50">
        <w:rPr>
          <w:rFonts w:ascii="等线" w:eastAsia="等线" w:hAnsi="Times New Roman"/>
          <w:color w:val="000000"/>
        </w:rPr>
        <w:t xml:space="preserve"> and </w:t>
      </w:r>
      <w:r w:rsidRPr="00072D50">
        <w:rPr>
          <w:rFonts w:ascii="等线" w:eastAsia="等线" w:hAnsi="Times New Roman"/>
          <w:color w:val="000000"/>
        </w:rPr>
        <w:t>“</w:t>
      </w:r>
      <w:r w:rsidRPr="00072D50">
        <w:rPr>
          <w:rFonts w:ascii="等线" w:eastAsia="等线" w:hAnsi="Times New Roman"/>
          <w:color w:val="000000"/>
        </w:rPr>
        <w:t>Highly Regarded</w:t>
      </w:r>
      <w:r w:rsidRPr="00072D50">
        <w:rPr>
          <w:rFonts w:ascii="等线" w:eastAsia="等线" w:hAnsi="Times New Roman"/>
          <w:color w:val="000000"/>
        </w:rPr>
        <w:t>”</w:t>
      </w:r>
      <w:r w:rsidRPr="00072D50">
        <w:rPr>
          <w:rFonts w:ascii="等线" w:eastAsia="等线" w:hAnsi="Times New Roman"/>
          <w:color w:val="000000"/>
        </w:rPr>
        <w:t xml:space="preserve"> lawyer (2022</w:t>
      </w:r>
      <w:r w:rsidRPr="00072D50">
        <w:rPr>
          <w:rFonts w:ascii="等线" w:eastAsia="等线" w:hAnsi="Times New Roman"/>
          <w:color w:val="000000"/>
        </w:rPr>
        <w:t>–</w:t>
      </w:r>
      <w:r w:rsidRPr="00072D50">
        <w:rPr>
          <w:rFonts w:ascii="等线" w:eastAsia="等线" w:hAnsi="Times New Roman"/>
          <w:color w:val="000000"/>
        </w:rPr>
        <w:t>2025), and from Legal 500 for her strategic judgment and ability to manage high-profile transactions. Prior to joining Fangda Partners, she practiced at Davis Polk, a wall street law firm, for over a decade, where she worked on numerous landmark deals across Asia.</w:t>
      </w:r>
    </w:p>
    <w:p w14:paraId="06F7232E" w14:textId="77777777" w:rsidR="00072D50" w:rsidRDefault="00072D50" w:rsidP="00072D50">
      <w:pPr>
        <w:pStyle w:val="af5"/>
        <w:spacing w:after="0" w:line="480" w:lineRule="auto"/>
        <w:rPr>
          <w:rFonts w:ascii="等线" w:eastAsia="等线" w:hAnsi="等线"/>
          <w:b/>
          <w:sz w:val="24"/>
        </w:rPr>
      </w:pPr>
      <w:r w:rsidRPr="00072D50">
        <w:rPr>
          <w:rFonts w:ascii="等线" w:eastAsia="等线" w:hAnsi="等线"/>
          <w:b/>
          <w:sz w:val="24"/>
        </w:rPr>
        <w:t>OTHER INFORMATION</w:t>
      </w:r>
    </w:p>
    <w:p w14:paraId="51E00A2B" w14:textId="77777777" w:rsidR="00072D50" w:rsidRDefault="00072D50" w:rsidP="00072D50">
      <w:pPr>
        <w:pStyle w:val="af5"/>
        <w:spacing w:after="0" w:line="480" w:lineRule="auto"/>
        <w:rPr>
          <w:rFonts w:ascii="等线" w:eastAsia="等线" w:hAnsi="等线"/>
          <w:b/>
          <w:sz w:val="24"/>
        </w:rPr>
      </w:pPr>
      <w:r w:rsidRPr="00072D50">
        <w:rPr>
          <w:rFonts w:ascii="等线" w:eastAsia="等线" w:hAnsi="等线"/>
          <w:b/>
          <w:sz w:val="24"/>
        </w:rPr>
        <w:t>Publications</w:t>
      </w:r>
    </w:p>
    <w:p w14:paraId="26EF734D" w14:textId="77777777" w:rsidR="00072D50" w:rsidRDefault="00072D50" w:rsidP="00072D50">
      <w:pPr>
        <w:pStyle w:val="af5"/>
        <w:numPr>
          <w:ilvl w:val="0"/>
          <w:numId w:val="13"/>
        </w:numPr>
        <w:spacing w:before="120"/>
        <w:ind w:left="690" w:hanging="240"/>
        <w:rPr>
          <w:rFonts w:ascii="等线" w:eastAsia="等线" w:hAnsi="Times New Roman"/>
          <w:color w:val="000000"/>
        </w:rPr>
      </w:pPr>
      <w:r w:rsidRPr="00072D50">
        <w:rPr>
          <w:rFonts w:ascii="等线" w:eastAsia="等线" w:hAnsi="Times New Roman"/>
          <w:color w:val="000000"/>
        </w:rPr>
        <w:t>“</w:t>
      </w:r>
      <w:r w:rsidRPr="00072D50">
        <w:rPr>
          <w:rFonts w:ascii="等线" w:eastAsia="等线" w:hAnsi="Times New Roman"/>
          <w:color w:val="000000"/>
        </w:rPr>
        <w:t>Assessing China</w:t>
      </w:r>
      <w:r w:rsidRPr="00072D50">
        <w:rPr>
          <w:rFonts w:ascii="等线" w:eastAsia="等线" w:hAnsi="Times New Roman"/>
          <w:color w:val="000000"/>
        </w:rPr>
        <w:t>’</w:t>
      </w:r>
      <w:r w:rsidRPr="00072D50">
        <w:rPr>
          <w:rFonts w:ascii="等线" w:eastAsia="等线" w:hAnsi="Times New Roman"/>
          <w:color w:val="000000"/>
        </w:rPr>
        <w:t>s Top-down Securities Market,</w:t>
      </w:r>
      <w:r w:rsidRPr="00072D50">
        <w:rPr>
          <w:rFonts w:ascii="等线" w:eastAsia="等线" w:hAnsi="Times New Roman"/>
          <w:color w:val="000000"/>
        </w:rPr>
        <w:t>”</w:t>
      </w:r>
      <w:r w:rsidRPr="00072D50">
        <w:rPr>
          <w:rFonts w:ascii="等线" w:eastAsia="等线" w:hAnsi="Times New Roman"/>
          <w:color w:val="000000"/>
        </w:rPr>
        <w:t xml:space="preserve"> in Capitalizing China, University of Chicago Press, 2012 (coauthored with NYU Professor William T. Allen) </w:t>
      </w:r>
    </w:p>
    <w:p w14:paraId="3D41D4C4" w14:textId="77777777" w:rsidR="00072D50" w:rsidRDefault="00072D50" w:rsidP="00072D50">
      <w:pPr>
        <w:pStyle w:val="af5"/>
        <w:numPr>
          <w:ilvl w:val="0"/>
          <w:numId w:val="14"/>
        </w:numPr>
        <w:spacing w:before="120"/>
        <w:ind w:left="690" w:hanging="240"/>
        <w:rPr>
          <w:rFonts w:ascii="等线" w:eastAsia="等线" w:hAnsi="Times New Roman"/>
          <w:color w:val="000000"/>
        </w:rPr>
      </w:pPr>
      <w:r w:rsidRPr="00072D50">
        <w:rPr>
          <w:rFonts w:ascii="等线" w:eastAsia="等线" w:hAnsi="Times New Roman"/>
          <w:color w:val="000000"/>
        </w:rPr>
        <w:t>“</w:t>
      </w:r>
      <w:r w:rsidRPr="00072D50">
        <w:rPr>
          <w:rFonts w:ascii="等线" w:eastAsia="等线" w:hAnsi="Times New Roman"/>
          <w:color w:val="000000"/>
        </w:rPr>
        <w:t>A Comparative Study of the Enforcement of Insider Trading Regulation between the U.S. and China,</w:t>
      </w:r>
      <w:r w:rsidRPr="00072D50">
        <w:rPr>
          <w:rFonts w:ascii="等线" w:eastAsia="等线" w:hAnsi="Times New Roman"/>
          <w:color w:val="000000"/>
        </w:rPr>
        <w:t>”</w:t>
      </w:r>
      <w:r w:rsidRPr="00072D50">
        <w:rPr>
          <w:rFonts w:ascii="等线" w:eastAsia="等线" w:hAnsi="Times New Roman"/>
          <w:color w:val="000000"/>
        </w:rPr>
        <w:t xml:space="preserve"> Journal of Business and Securities Law, Vol. 9, Issue 1, 2008 </w:t>
      </w:r>
    </w:p>
    <w:p w14:paraId="1AE13EEB" w14:textId="77777777" w:rsidR="00072D50" w:rsidRDefault="00072D50" w:rsidP="00072D50">
      <w:pPr>
        <w:pStyle w:val="af5"/>
        <w:numPr>
          <w:ilvl w:val="0"/>
          <w:numId w:val="15"/>
        </w:numPr>
        <w:spacing w:before="120"/>
        <w:ind w:left="690" w:hanging="240"/>
        <w:rPr>
          <w:rFonts w:ascii="等线" w:eastAsia="等线" w:hAnsi="Times New Roman"/>
          <w:color w:val="000000"/>
        </w:rPr>
      </w:pPr>
      <w:r w:rsidRPr="00072D50">
        <w:rPr>
          <w:rFonts w:ascii="等线" w:eastAsia="等线" w:hAnsi="Times New Roman"/>
          <w:color w:val="000000"/>
        </w:rPr>
        <w:t>“</w:t>
      </w:r>
      <w:r w:rsidRPr="00072D50">
        <w:rPr>
          <w:rFonts w:ascii="等线" w:eastAsia="等线" w:hAnsi="Times New Roman"/>
          <w:color w:val="000000"/>
        </w:rPr>
        <w:t>The Mechanisms of Securities Dispute Resolution in China,</w:t>
      </w:r>
      <w:r w:rsidRPr="00072D50">
        <w:rPr>
          <w:rFonts w:ascii="等线" w:eastAsia="等线" w:hAnsi="Times New Roman"/>
          <w:color w:val="000000"/>
        </w:rPr>
        <w:t>”</w:t>
      </w:r>
      <w:r w:rsidRPr="00072D50">
        <w:rPr>
          <w:rFonts w:ascii="等线" w:eastAsia="等线" w:hAnsi="Times New Roman"/>
          <w:color w:val="000000"/>
        </w:rPr>
        <w:t xml:space="preserve"> presented at the HKU-PKU Constitutional Reform and Financial Regulatory Conference, 2009 </w:t>
      </w:r>
    </w:p>
    <w:p w14:paraId="7ED75E12" w14:textId="77777777" w:rsidR="00072D50" w:rsidRDefault="00072D50" w:rsidP="00072D50">
      <w:pPr>
        <w:pStyle w:val="af5"/>
        <w:numPr>
          <w:ilvl w:val="0"/>
          <w:numId w:val="16"/>
        </w:numPr>
        <w:spacing w:before="120"/>
        <w:ind w:left="690" w:hanging="240"/>
        <w:rPr>
          <w:rFonts w:ascii="等线" w:eastAsia="等线" w:hAnsi="Times New Roman"/>
          <w:color w:val="000000"/>
        </w:rPr>
      </w:pPr>
      <w:r w:rsidRPr="00072D50">
        <w:rPr>
          <w:rFonts w:ascii="等线" w:eastAsia="等线" w:hAnsi="Times New Roman"/>
          <w:color w:val="000000"/>
        </w:rPr>
        <w:t>“</w:t>
      </w:r>
      <w:r w:rsidRPr="00072D50">
        <w:rPr>
          <w:rFonts w:ascii="等线" w:eastAsia="等线" w:hAnsi="Times New Roman"/>
          <w:color w:val="000000"/>
        </w:rPr>
        <w:t>Regulatory and Practical Aspects of Chinese Enterprises in International Capital Markets Transactions,</w:t>
      </w:r>
      <w:r w:rsidRPr="00072D50">
        <w:rPr>
          <w:rFonts w:ascii="等线" w:eastAsia="等线" w:hAnsi="Times New Roman"/>
          <w:color w:val="000000"/>
        </w:rPr>
        <w:t>”</w:t>
      </w:r>
      <w:r w:rsidRPr="00072D50">
        <w:rPr>
          <w:rFonts w:ascii="等线" w:eastAsia="等线" w:hAnsi="Times New Roman"/>
          <w:color w:val="000000"/>
        </w:rPr>
        <w:t xml:space="preserve"> presented at The University of Sydney China Centre Annual Conference </w:t>
      </w:r>
    </w:p>
    <w:p w14:paraId="08B460A7" w14:textId="77777777" w:rsidR="00072D50" w:rsidRDefault="00072D50" w:rsidP="00072D50">
      <w:pPr>
        <w:pStyle w:val="af5"/>
        <w:numPr>
          <w:ilvl w:val="0"/>
          <w:numId w:val="17"/>
        </w:numPr>
        <w:spacing w:before="120"/>
        <w:ind w:left="690" w:hanging="240"/>
        <w:rPr>
          <w:rFonts w:ascii="等线" w:eastAsia="等线" w:hAnsi="Times New Roman"/>
          <w:color w:val="000000"/>
        </w:rPr>
      </w:pPr>
      <w:r w:rsidRPr="00072D50">
        <w:rPr>
          <w:rFonts w:ascii="等线" w:eastAsia="等线" w:hAnsi="Times New Roman"/>
          <w:color w:val="000000"/>
        </w:rPr>
        <w:t>“</w:t>
      </w:r>
      <w:r w:rsidRPr="00072D50">
        <w:rPr>
          <w:rFonts w:ascii="等线" w:eastAsia="等线" w:hAnsi="Times New Roman"/>
          <w:color w:val="000000"/>
        </w:rPr>
        <w:t>Securities Dispute Resolution Mechanisms in China,</w:t>
      </w:r>
      <w:r w:rsidRPr="00072D50">
        <w:rPr>
          <w:rFonts w:ascii="等线" w:eastAsia="等线" w:hAnsi="Times New Roman"/>
          <w:color w:val="000000"/>
        </w:rPr>
        <w:t>”</w:t>
      </w:r>
      <w:r w:rsidRPr="00072D50">
        <w:rPr>
          <w:rFonts w:ascii="等线" w:eastAsia="等线" w:hAnsi="Times New Roman"/>
          <w:color w:val="000000"/>
        </w:rPr>
        <w:t xml:space="preserve"> presented at the HKU-PKU Joint Conference on Constitutional Reform and Financial Regulation </w:t>
      </w:r>
    </w:p>
    <w:p w14:paraId="5567FC3C" w14:textId="304A217B" w:rsidR="00686369" w:rsidRPr="00072D50" w:rsidRDefault="00072D50" w:rsidP="00072D50">
      <w:pPr>
        <w:pStyle w:val="af5"/>
        <w:numPr>
          <w:ilvl w:val="0"/>
          <w:numId w:val="18"/>
        </w:numPr>
        <w:spacing w:before="120"/>
        <w:ind w:left="690" w:hanging="240"/>
        <w:rPr>
          <w:rFonts w:ascii="等线" w:eastAsia="等线" w:hAnsi="Times New Roman"/>
          <w:color w:val="000000"/>
        </w:rPr>
      </w:pPr>
      <w:r w:rsidRPr="00072D50">
        <w:rPr>
          <w:rFonts w:ascii="等线" w:eastAsia="等线" w:hAnsi="Times New Roman"/>
          <w:color w:val="000000"/>
        </w:rPr>
        <w:t>Long-term contributor to the World Bank</w:t>
      </w:r>
      <w:r w:rsidRPr="00072D50">
        <w:rPr>
          <w:rFonts w:ascii="等线" w:eastAsia="等线" w:hAnsi="Times New Roman"/>
          <w:color w:val="000000"/>
        </w:rPr>
        <w:t>’</w:t>
      </w:r>
      <w:r w:rsidRPr="00072D50">
        <w:rPr>
          <w:rFonts w:ascii="等线" w:eastAsia="等线" w:hAnsi="Times New Roman"/>
          <w:color w:val="000000"/>
        </w:rPr>
        <w:t xml:space="preserve">s Doing Business (China chapter) research program </w:t>
      </w:r>
    </w:p>
    <w:sectPr w:rsidR="00686369" w:rsidRPr="00072D50"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9712E"/>
    <w:multiLevelType w:val="singleLevel"/>
    <w:tmpl w:val="5B6A811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DE31F1"/>
    <w:multiLevelType w:val="singleLevel"/>
    <w:tmpl w:val="9E12A6D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3CC5AA3"/>
    <w:multiLevelType w:val="singleLevel"/>
    <w:tmpl w:val="45B23C2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7894DFC"/>
    <w:multiLevelType w:val="singleLevel"/>
    <w:tmpl w:val="16400DF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B525C15"/>
    <w:multiLevelType w:val="singleLevel"/>
    <w:tmpl w:val="28CA1BA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C1F0C2F"/>
    <w:multiLevelType w:val="singleLevel"/>
    <w:tmpl w:val="4DE4B2C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D254E14"/>
    <w:multiLevelType w:val="singleLevel"/>
    <w:tmpl w:val="5F8CE9F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358028A6"/>
    <w:multiLevelType w:val="singleLevel"/>
    <w:tmpl w:val="CAE8D1D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B6B25BB"/>
    <w:multiLevelType w:val="singleLevel"/>
    <w:tmpl w:val="49861AB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EA27ED0"/>
    <w:multiLevelType w:val="singleLevel"/>
    <w:tmpl w:val="39640BC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53773647"/>
    <w:multiLevelType w:val="singleLevel"/>
    <w:tmpl w:val="BB7E729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3D85B47"/>
    <w:multiLevelType w:val="singleLevel"/>
    <w:tmpl w:val="07F8F1E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F6A3D06"/>
    <w:multiLevelType w:val="singleLevel"/>
    <w:tmpl w:val="4DE4B2C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7AC76814"/>
    <w:multiLevelType w:val="singleLevel"/>
    <w:tmpl w:val="87E0063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7D8537AE"/>
    <w:multiLevelType w:val="singleLevel"/>
    <w:tmpl w:val="9CE6CE4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7FD86176"/>
    <w:multiLevelType w:val="singleLevel"/>
    <w:tmpl w:val="9FDC54FE"/>
    <w:lvl w:ilvl="0">
      <w:start w:val="1"/>
      <w:numFmt w:val="bullet"/>
      <w:lvlText w:val=""/>
      <w:lvlJc w:val="left"/>
      <w:pPr>
        <w:tabs>
          <w:tab w:val="num" w:pos="200"/>
        </w:tabs>
        <w:ind w:left="200" w:hanging="200"/>
      </w:pPr>
      <w:rPr>
        <w:rFonts w:ascii="Wingdings" w:hAnsi="Wingdings" w:hint="default"/>
        <w:sz w:val="16"/>
      </w:rPr>
    </w:lvl>
  </w:abstractNum>
  <w:num w:numId="1">
    <w:abstractNumId w:val="7"/>
  </w:num>
  <w:num w:numId="2">
    <w:abstractNumId w:val="9"/>
  </w:num>
  <w:num w:numId="3">
    <w:abstractNumId w:val="17"/>
  </w:num>
  <w:num w:numId="4">
    <w:abstractNumId w:val="16"/>
  </w:num>
  <w:num w:numId="5">
    <w:abstractNumId w:val="2"/>
  </w:num>
  <w:num w:numId="6">
    <w:abstractNumId w:val="12"/>
  </w:num>
  <w:num w:numId="7">
    <w:abstractNumId w:val="10"/>
  </w:num>
  <w:num w:numId="8">
    <w:abstractNumId w:val="8"/>
  </w:num>
  <w:num w:numId="9">
    <w:abstractNumId w:val="13"/>
  </w:num>
  <w:num w:numId="10">
    <w:abstractNumId w:val="4"/>
  </w:num>
  <w:num w:numId="11">
    <w:abstractNumId w:val="1"/>
  </w:num>
  <w:num w:numId="12">
    <w:abstractNumId w:val="0"/>
  </w:num>
  <w:num w:numId="13">
    <w:abstractNumId w:val="3"/>
  </w:num>
  <w:num w:numId="14">
    <w:abstractNumId w:val="6"/>
  </w:num>
  <w:num w:numId="15">
    <w:abstractNumId w:val="11"/>
  </w:num>
  <w:num w:numId="16">
    <w:abstractNumId w:val="15"/>
  </w:num>
  <w:num w:numId="17">
    <w:abstractNumId w:val="5"/>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72D50"/>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072D50"/>
    <w:pPr>
      <w:spacing w:after="120"/>
    </w:pPr>
  </w:style>
  <w:style w:type="character" w:customStyle="1" w:styleId="af6">
    <w:name w:val="正文文本 字符"/>
    <w:basedOn w:val="a0"/>
    <w:link w:val="af5"/>
    <w:uiPriority w:val="99"/>
    <w:rsid w:val="00072D50"/>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4504EE-ED50-467A-8413-6BB9690A56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923</Words>
  <Characters>5267</Characters>
  <Application>Microsoft Office Word</Application>
  <DocSecurity>0</DocSecurity>
  <Lines>43</Lines>
  <Paragraphs>12</Paragraphs>
  <ScaleCrop>false</ScaleCrop>
  <Company/>
  <LinksUpToDate>false</LinksUpToDate>
  <CharactersWithSpaces>6178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2026-06-03T01:32:00Z</dcterms:created>
  <dcterms:modified xsi:type="dcterms:W3CDTF">2026-06-03T01:32:00Z</dcterms:modified>
</cp:coreProperties>
</file>