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F85FDE3" w:rsidR="0049405C" w:rsidRPr="00C24D79" w:rsidRDefault="00CF3B71" w:rsidP="00CF3B71">
            <w:pPr>
              <w:spacing w:line="720" w:lineRule="auto"/>
              <w:rPr>
                <w:rFonts w:eastAsiaTheme="minorHAnsi"/>
                <w:color w:val="545551"/>
              </w:rPr>
            </w:pPr>
            <w:bookmarkStart w:id="0" w:name="xingming"/>
            <w:bookmarkStart w:id="1" w:name="_GoBack"/>
            <w:bookmarkEnd w:id="1"/>
            <w:r w:rsidRPr="00CF3B71">
              <w:rPr>
                <w:rFonts w:ascii="等线" w:eastAsia="等线" w:hAnsi="Times New Roman"/>
                <w:b/>
                <w:color w:val="000000"/>
                <w:sz w:val="48"/>
              </w:rPr>
              <w:t>SHIRLEY LI</w:t>
            </w:r>
            <w:bookmarkEnd w:id="0"/>
          </w:p>
          <w:p w14:paraId="706EB16B" w14:textId="22699F5F" w:rsidR="0049405C" w:rsidRPr="00C24D79" w:rsidRDefault="00CF3B71" w:rsidP="00CF3B71">
            <w:pPr>
              <w:spacing w:line="360" w:lineRule="auto"/>
              <w:rPr>
                <w:rFonts w:eastAsiaTheme="minorHAnsi"/>
                <w:b/>
                <w:bCs/>
                <w:color w:val="545551"/>
              </w:rPr>
            </w:pPr>
            <w:bookmarkStart w:id="2" w:name="didian"/>
            <w:r w:rsidRPr="00CF3B71">
              <w:rPr>
                <w:rFonts w:ascii="等线" w:eastAsia="等线" w:hAnsi="Times New Roman"/>
                <w:b/>
                <w:bCs/>
                <w:color w:val="000000"/>
              </w:rPr>
              <w:t>Counsel</w:t>
            </w:r>
            <w:r w:rsidRPr="00CF3B71">
              <w:rPr>
                <w:rFonts w:ascii="等线" w:eastAsia="等线" w:hAnsi="Times New Roman"/>
                <w:b/>
                <w:bCs/>
                <w:color w:val="000000"/>
              </w:rPr>
              <w:t>·</w:t>
            </w:r>
            <w:r w:rsidRPr="00CF3B71">
              <w:rPr>
                <w:rFonts w:ascii="等线" w:eastAsia="等线" w:hAnsi="Times New Roman"/>
                <w:b/>
                <w:bCs/>
                <w:color w:val="000000"/>
              </w:rPr>
              <w:t>Beijing</w:t>
            </w:r>
            <w:bookmarkEnd w:id="2"/>
          </w:p>
          <w:p w14:paraId="6199424A" w14:textId="4913B1F0" w:rsidR="0049405C" w:rsidRPr="00C24D79" w:rsidRDefault="00CF3B71" w:rsidP="00CF3B71">
            <w:pPr>
              <w:spacing w:line="360" w:lineRule="auto"/>
              <w:rPr>
                <w:rFonts w:eastAsiaTheme="minorHAnsi"/>
                <w:color w:val="545551"/>
              </w:rPr>
            </w:pPr>
            <w:bookmarkStart w:id="3" w:name="dianhua"/>
            <w:r w:rsidRPr="00CF3B71">
              <w:rPr>
                <w:rFonts w:ascii="等线" w:eastAsia="等线" w:hAnsi="Times New Roman"/>
                <w:color w:val="000000"/>
              </w:rPr>
              <w:t>+86 10 5769 4251</w:t>
            </w:r>
            <w:bookmarkEnd w:id="3"/>
          </w:p>
          <w:p w14:paraId="4F910ACA" w14:textId="139E2765" w:rsidR="0049405C" w:rsidRPr="00C24D79" w:rsidRDefault="00CF3B71" w:rsidP="00CF3B71">
            <w:pPr>
              <w:spacing w:line="360" w:lineRule="auto"/>
              <w:rPr>
                <w:rFonts w:eastAsiaTheme="minorHAnsi"/>
                <w:color w:val="000000"/>
              </w:rPr>
            </w:pPr>
            <w:bookmarkStart w:id="4" w:name="youxiang"/>
            <w:r w:rsidRPr="00CF3B71">
              <w:rPr>
                <w:rFonts w:ascii="等线" w:eastAsia="等线" w:hAnsi="Times New Roman"/>
                <w:color w:val="000000"/>
              </w:rPr>
              <w:t>shirley.li@fangdalaw.com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FC17314" w:rsidR="0049405C" w:rsidRPr="00C24D79" w:rsidRDefault="00CF3B7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B68CC89" wp14:editId="08534DB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55A140D" w:rsidR="009465FB" w:rsidRPr="00C24D79" w:rsidRDefault="00CF3B71" w:rsidP="007177F3">
            <w:pPr>
              <w:rPr>
                <w:rFonts w:eastAsiaTheme="minorHAnsi"/>
                <w:color w:val="000000"/>
                <w:szCs w:val="21"/>
              </w:rPr>
            </w:pPr>
            <w:bookmarkStart w:id="6" w:name="zhiyelingyu"/>
            <w:r w:rsidRPr="00CF3B71">
              <w:rPr>
                <w:rFonts w:ascii="等线" w:eastAsia="等线" w:hAnsi="Times New Roman"/>
                <w:color w:val="000000"/>
                <w:szCs w:val="21"/>
              </w:rPr>
              <w:t>MS. LI SPECIALIZES IN CORPORATE M&amp;A, CAPITAL MARKETS, PRIVATE EQUITY INVESTMENT AND GENERAL CORPORATE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B2376ED" w14:textId="77777777" w:rsidR="00CF3B7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A6C5D00" w14:textId="77777777" w:rsidR="00CF3B71" w:rsidRDefault="00CF3B71" w:rsidP="00CF3B71">
      <w:pPr>
        <w:pStyle w:val="af5"/>
        <w:spacing w:after="0" w:line="480" w:lineRule="auto"/>
        <w:rPr>
          <w:rFonts w:ascii="等线" w:eastAsia="等线" w:hAnsi="等线"/>
          <w:b/>
          <w:sz w:val="24"/>
        </w:rPr>
      </w:pPr>
      <w:r w:rsidRPr="00CF3B71">
        <w:rPr>
          <w:rFonts w:ascii="等线" w:eastAsia="等线" w:hAnsi="等线"/>
          <w:b/>
          <w:sz w:val="24"/>
        </w:rPr>
        <w:t>REPRESENTATIVE MATTERS AND CASES</w:t>
      </w:r>
    </w:p>
    <w:p w14:paraId="76E5F1B9" w14:textId="77777777" w:rsidR="00CF3B71" w:rsidRDefault="00CF3B71" w:rsidP="00CF3B71">
      <w:pPr>
        <w:pStyle w:val="af5"/>
        <w:spacing w:before="120"/>
        <w:rPr>
          <w:rFonts w:ascii="等线" w:eastAsia="等线" w:hAnsi="Times New Roman"/>
          <w:color w:val="000000"/>
        </w:rPr>
      </w:pPr>
      <w:r w:rsidRPr="00CF3B71">
        <w:rPr>
          <w:rFonts w:ascii="等线" w:eastAsia="等线" w:hAnsi="Times New Roman"/>
          <w:color w:val="000000"/>
        </w:rPr>
        <w:t>Capital Markets</w:t>
      </w:r>
    </w:p>
    <w:p w14:paraId="7BD7CA12" w14:textId="77777777" w:rsidR="00CF3B71" w:rsidRDefault="00CF3B71" w:rsidP="00CF3B71">
      <w:pPr>
        <w:pStyle w:val="af5"/>
        <w:numPr>
          <w:ilvl w:val="0"/>
          <w:numId w:val="4"/>
        </w:numPr>
        <w:spacing w:before="120"/>
        <w:ind w:left="690" w:hanging="240"/>
        <w:rPr>
          <w:rFonts w:ascii="等线" w:eastAsia="等线" w:hAnsi="Times New Roman"/>
          <w:color w:val="000000"/>
        </w:rPr>
      </w:pPr>
      <w:r w:rsidRPr="00CF3B71">
        <w:rPr>
          <w:rFonts w:ascii="等线" w:eastAsia="等线" w:hAnsi="Times New Roman"/>
          <w:color w:val="000000"/>
        </w:rPr>
        <w:t>Represented InnoCare Pharma in its IPO on the Sci-Tech Board of the Shanghai Stock Exchange, and provided ongoing legal services for the Company</w:t>
      </w:r>
    </w:p>
    <w:p w14:paraId="71A814FA" w14:textId="77777777" w:rsidR="00CF3B71" w:rsidRDefault="00CF3B71" w:rsidP="00CF3B71">
      <w:pPr>
        <w:pStyle w:val="af5"/>
        <w:numPr>
          <w:ilvl w:val="0"/>
          <w:numId w:val="5"/>
        </w:numPr>
        <w:spacing w:before="120"/>
        <w:ind w:left="690" w:hanging="240"/>
        <w:rPr>
          <w:rFonts w:ascii="等线" w:eastAsia="等线" w:hAnsi="Times New Roman"/>
          <w:color w:val="000000"/>
        </w:rPr>
      </w:pPr>
      <w:r w:rsidRPr="00CF3B71">
        <w:rPr>
          <w:rFonts w:ascii="等线" w:eastAsia="等线" w:hAnsi="Times New Roman"/>
          <w:color w:val="000000"/>
        </w:rPr>
        <w:t>Represented BeiGene in its IPO on the Sci-Tech Board of the Shanghai Stock Exchange</w:t>
      </w:r>
    </w:p>
    <w:p w14:paraId="7E1B35E5" w14:textId="77777777" w:rsidR="00CF3B71" w:rsidRDefault="00CF3B71" w:rsidP="00CF3B71">
      <w:pPr>
        <w:pStyle w:val="af5"/>
        <w:numPr>
          <w:ilvl w:val="0"/>
          <w:numId w:val="6"/>
        </w:numPr>
        <w:spacing w:before="120"/>
        <w:ind w:left="690" w:hanging="240"/>
        <w:rPr>
          <w:rFonts w:ascii="等线" w:eastAsia="等线" w:hAnsi="Times New Roman"/>
          <w:color w:val="000000"/>
        </w:rPr>
      </w:pPr>
      <w:r w:rsidRPr="00CF3B71">
        <w:rPr>
          <w:rFonts w:ascii="等线" w:eastAsia="等线" w:hAnsi="Times New Roman"/>
          <w:color w:val="000000"/>
        </w:rPr>
        <w:t>Represented Alibaba Group in its issuance of offshore exchangeable bonds and convertible bonds</w:t>
      </w:r>
    </w:p>
    <w:p w14:paraId="660BF003" w14:textId="77777777" w:rsidR="00CF3B71" w:rsidRDefault="00CF3B71" w:rsidP="00CF3B71">
      <w:pPr>
        <w:pStyle w:val="af5"/>
        <w:numPr>
          <w:ilvl w:val="0"/>
          <w:numId w:val="7"/>
        </w:numPr>
        <w:spacing w:before="120"/>
        <w:ind w:left="690" w:hanging="240"/>
        <w:rPr>
          <w:rFonts w:ascii="等线" w:eastAsia="等线" w:hAnsi="Times New Roman"/>
          <w:color w:val="000000"/>
        </w:rPr>
      </w:pPr>
      <w:r w:rsidRPr="00CF3B71">
        <w:rPr>
          <w:rFonts w:ascii="等线" w:eastAsia="等线" w:hAnsi="Times New Roman"/>
          <w:color w:val="000000"/>
        </w:rPr>
        <w:t>Represented multiple enterprises in manufacturing technology, autonomous driving, healthcare sectors in their offshore IPOs (ongoing)</w:t>
      </w:r>
    </w:p>
    <w:p w14:paraId="2BCD48CC" w14:textId="77777777" w:rsidR="00CF3B71" w:rsidRDefault="00CF3B71" w:rsidP="00CF3B71">
      <w:pPr>
        <w:pStyle w:val="af5"/>
        <w:numPr>
          <w:ilvl w:val="0"/>
          <w:numId w:val="8"/>
        </w:numPr>
        <w:spacing w:before="120"/>
        <w:ind w:left="690" w:hanging="240"/>
        <w:rPr>
          <w:rFonts w:ascii="等线" w:eastAsia="等线" w:hAnsi="Times New Roman"/>
          <w:color w:val="000000"/>
        </w:rPr>
      </w:pPr>
      <w:r w:rsidRPr="00CF3B71">
        <w:rPr>
          <w:rFonts w:ascii="等线" w:eastAsia="等线" w:hAnsi="Times New Roman"/>
          <w:color w:val="000000"/>
        </w:rPr>
        <w:t>Represented the underwriters in connection with the major asset restructuring of Minjiang Hydropower</w:t>
      </w:r>
    </w:p>
    <w:p w14:paraId="144ED3DB" w14:textId="77777777" w:rsidR="00CF3B71" w:rsidRDefault="00CF3B71" w:rsidP="00CF3B71">
      <w:pPr>
        <w:pStyle w:val="af5"/>
        <w:numPr>
          <w:ilvl w:val="0"/>
          <w:numId w:val="9"/>
        </w:numPr>
        <w:spacing w:before="120"/>
        <w:ind w:left="690" w:hanging="240"/>
        <w:rPr>
          <w:rFonts w:ascii="等线" w:eastAsia="等线" w:hAnsi="Times New Roman"/>
          <w:color w:val="000000"/>
        </w:rPr>
      </w:pPr>
      <w:r w:rsidRPr="00CF3B71">
        <w:rPr>
          <w:rFonts w:ascii="等线" w:eastAsia="等线" w:hAnsi="Times New Roman"/>
          <w:color w:val="000000"/>
        </w:rPr>
        <w:t>Represented Chongho Bridge and various other China-based companies in their pre-IPO restructuring and financing</w:t>
      </w:r>
    </w:p>
    <w:p w14:paraId="23461C28" w14:textId="77777777" w:rsidR="00CF3B71" w:rsidRDefault="00CF3B71" w:rsidP="00CF3B71">
      <w:pPr>
        <w:pStyle w:val="af5"/>
        <w:spacing w:before="120"/>
        <w:rPr>
          <w:rFonts w:ascii="等线" w:eastAsia="等线" w:hAnsi="Times New Roman"/>
          <w:color w:val="000000"/>
        </w:rPr>
      </w:pPr>
      <w:r w:rsidRPr="00CF3B71">
        <w:rPr>
          <w:rFonts w:ascii="等线" w:eastAsia="等线" w:hAnsi="Times New Roman"/>
          <w:color w:val="000000"/>
        </w:rPr>
        <w:t>Corporate M&amp;A, Private Equity Investment and Other Matters</w:t>
      </w:r>
    </w:p>
    <w:p w14:paraId="3970DD8C" w14:textId="77777777" w:rsidR="00CF3B71" w:rsidRDefault="00CF3B71" w:rsidP="00CF3B71">
      <w:pPr>
        <w:pStyle w:val="af5"/>
        <w:numPr>
          <w:ilvl w:val="0"/>
          <w:numId w:val="10"/>
        </w:numPr>
        <w:spacing w:before="120"/>
        <w:ind w:left="690" w:hanging="240"/>
        <w:rPr>
          <w:rFonts w:ascii="等线" w:eastAsia="等线" w:hAnsi="Times New Roman"/>
          <w:color w:val="000000"/>
        </w:rPr>
      </w:pPr>
      <w:r w:rsidRPr="00CF3B71">
        <w:rPr>
          <w:rFonts w:ascii="等线" w:eastAsia="等线" w:hAnsi="Times New Roman"/>
          <w:color w:val="000000"/>
        </w:rPr>
        <w:t>Represented the Seller in connection with the Shanghai Airport</w:t>
      </w:r>
      <w:r w:rsidRPr="00CF3B71">
        <w:rPr>
          <w:rFonts w:ascii="等线" w:eastAsia="等线" w:hAnsi="Times New Roman"/>
          <w:color w:val="000000"/>
        </w:rPr>
        <w:t>’</w:t>
      </w:r>
      <w:r w:rsidRPr="00CF3B71">
        <w:rPr>
          <w:rFonts w:ascii="等线" w:eastAsia="等线" w:hAnsi="Times New Roman"/>
          <w:color w:val="000000"/>
        </w:rPr>
        <w:t>s acquisition of relevant equity interests in Sunrise Duty Free</w:t>
      </w:r>
    </w:p>
    <w:p w14:paraId="78F18ACC" w14:textId="77777777" w:rsidR="00CF3B71" w:rsidRDefault="00CF3B71" w:rsidP="00CF3B71">
      <w:pPr>
        <w:pStyle w:val="af5"/>
        <w:numPr>
          <w:ilvl w:val="0"/>
          <w:numId w:val="11"/>
        </w:numPr>
        <w:spacing w:before="120"/>
        <w:ind w:left="690" w:hanging="240"/>
        <w:rPr>
          <w:rFonts w:ascii="等线" w:eastAsia="等线" w:hAnsi="Times New Roman"/>
          <w:color w:val="000000"/>
        </w:rPr>
      </w:pPr>
      <w:r w:rsidRPr="00CF3B71">
        <w:rPr>
          <w:rFonts w:ascii="等线" w:eastAsia="等线" w:hAnsi="Times New Roman"/>
          <w:color w:val="000000"/>
        </w:rPr>
        <w:t>Represented the Seller Morgan Stanley in connection with the transfer of control over Huai'an Huaiyin Hospital to China Resources Medical</w:t>
      </w:r>
    </w:p>
    <w:p w14:paraId="0A3CEC87" w14:textId="77777777" w:rsidR="00CF3B71" w:rsidRDefault="00CF3B71" w:rsidP="00CF3B71">
      <w:pPr>
        <w:pStyle w:val="af5"/>
        <w:numPr>
          <w:ilvl w:val="0"/>
          <w:numId w:val="12"/>
        </w:numPr>
        <w:spacing w:before="120"/>
        <w:ind w:left="690" w:hanging="240"/>
        <w:rPr>
          <w:rFonts w:ascii="等线" w:eastAsia="等线" w:hAnsi="Times New Roman"/>
          <w:color w:val="000000"/>
        </w:rPr>
      </w:pPr>
      <w:r w:rsidRPr="00CF3B71">
        <w:rPr>
          <w:rFonts w:ascii="等线" w:eastAsia="等线" w:hAnsi="Times New Roman"/>
          <w:color w:val="000000"/>
        </w:rPr>
        <w:t>Represented the Seller Huang Jihuang in connection with Yum China's acquisition of Huang Jihuang</w:t>
      </w:r>
    </w:p>
    <w:p w14:paraId="541BAE05" w14:textId="77777777" w:rsidR="00CF3B71" w:rsidRDefault="00CF3B71" w:rsidP="00CF3B71">
      <w:pPr>
        <w:pStyle w:val="af5"/>
        <w:numPr>
          <w:ilvl w:val="0"/>
          <w:numId w:val="13"/>
        </w:numPr>
        <w:spacing w:before="120"/>
        <w:ind w:left="690" w:hanging="240"/>
        <w:rPr>
          <w:rFonts w:ascii="等线" w:eastAsia="等线" w:hAnsi="Times New Roman"/>
          <w:color w:val="000000"/>
        </w:rPr>
      </w:pPr>
      <w:r w:rsidRPr="00CF3B71">
        <w:rPr>
          <w:rFonts w:ascii="等线" w:eastAsia="等线" w:hAnsi="Times New Roman"/>
          <w:color w:val="000000"/>
        </w:rPr>
        <w:t>Represented Xinghaitu, an embodied intelligence enterprise, in its multiple rounds of equity financing and the ESOP arrangement</w:t>
      </w:r>
    </w:p>
    <w:p w14:paraId="15B4C728" w14:textId="77777777" w:rsidR="00CF3B71" w:rsidRDefault="00CF3B71" w:rsidP="00CF3B71">
      <w:pPr>
        <w:pStyle w:val="af5"/>
        <w:numPr>
          <w:ilvl w:val="0"/>
          <w:numId w:val="14"/>
        </w:numPr>
        <w:spacing w:before="120"/>
        <w:ind w:left="690" w:hanging="240"/>
        <w:rPr>
          <w:rFonts w:ascii="等线" w:eastAsia="等线" w:hAnsi="Times New Roman"/>
          <w:color w:val="000000"/>
        </w:rPr>
      </w:pPr>
      <w:r w:rsidRPr="00CF3B71">
        <w:rPr>
          <w:rFonts w:ascii="等线" w:eastAsia="等线" w:hAnsi="Times New Roman"/>
          <w:color w:val="000000"/>
        </w:rPr>
        <w:t>Represented Shimo Microelectronics, Rankyee Technology and Migrasome Therapeutics in their multiple rounds of equity financing, ESOP arrangement, and provided ongoing legal services for the relevant enterprises</w:t>
      </w:r>
    </w:p>
    <w:p w14:paraId="49D6019E" w14:textId="77777777" w:rsidR="00CF3B71" w:rsidRDefault="00CF3B71" w:rsidP="00CF3B71">
      <w:pPr>
        <w:pStyle w:val="af5"/>
        <w:numPr>
          <w:ilvl w:val="0"/>
          <w:numId w:val="15"/>
        </w:numPr>
        <w:spacing w:before="120"/>
        <w:ind w:left="690" w:hanging="240"/>
        <w:rPr>
          <w:rFonts w:ascii="等线" w:eastAsia="等线" w:hAnsi="Times New Roman"/>
          <w:color w:val="000000"/>
        </w:rPr>
      </w:pPr>
      <w:r w:rsidRPr="00CF3B71">
        <w:rPr>
          <w:rFonts w:ascii="等线" w:eastAsia="等线" w:hAnsi="Times New Roman"/>
          <w:color w:val="000000"/>
        </w:rPr>
        <w:t>Provided legal services for Beijing Academy of Artificial Intelligence (BAAI), a research institution in the AI field</w:t>
      </w:r>
    </w:p>
    <w:p w14:paraId="68BF96B1" w14:textId="77777777" w:rsidR="00CF3B71" w:rsidRDefault="00CF3B71" w:rsidP="00CF3B71">
      <w:pPr>
        <w:pStyle w:val="af5"/>
        <w:numPr>
          <w:ilvl w:val="0"/>
          <w:numId w:val="16"/>
        </w:numPr>
        <w:spacing w:before="120"/>
        <w:ind w:left="690" w:hanging="240"/>
        <w:rPr>
          <w:rFonts w:ascii="等线" w:eastAsia="等线" w:hAnsi="Times New Roman"/>
          <w:color w:val="000000"/>
        </w:rPr>
      </w:pPr>
      <w:r w:rsidRPr="00CF3B71">
        <w:rPr>
          <w:rFonts w:ascii="等线" w:eastAsia="等线" w:hAnsi="Times New Roman"/>
          <w:color w:val="000000"/>
        </w:rPr>
        <w:t>Represented Alibaba Group in a series of equity investment and acquisition transactions in Nreal and Honor The Unknown, etc.</w:t>
      </w:r>
    </w:p>
    <w:p w14:paraId="0126A871" w14:textId="77777777" w:rsidR="00CF3B71" w:rsidRDefault="00CF3B71" w:rsidP="00CF3B71">
      <w:pPr>
        <w:pStyle w:val="af5"/>
        <w:numPr>
          <w:ilvl w:val="0"/>
          <w:numId w:val="17"/>
        </w:numPr>
        <w:spacing w:before="120"/>
        <w:ind w:left="690" w:hanging="240"/>
        <w:rPr>
          <w:rFonts w:ascii="等线" w:eastAsia="等线" w:hAnsi="Times New Roman"/>
          <w:color w:val="000000"/>
        </w:rPr>
      </w:pPr>
      <w:r w:rsidRPr="00CF3B71">
        <w:rPr>
          <w:rFonts w:ascii="等线" w:eastAsia="等线" w:hAnsi="Times New Roman"/>
          <w:color w:val="000000"/>
        </w:rPr>
        <w:t>Represented Hillhouse Capital, Boyu Capital, CMC Capital, Primavera Capital and Shunwei Capital in a series of equity investment and acquisition transactions</w:t>
      </w:r>
    </w:p>
    <w:p w14:paraId="3ECE9C23" w14:textId="77777777" w:rsidR="00CF3B71" w:rsidRDefault="00CF3B71" w:rsidP="00CF3B71">
      <w:pPr>
        <w:pStyle w:val="af5"/>
        <w:numPr>
          <w:ilvl w:val="0"/>
          <w:numId w:val="18"/>
        </w:numPr>
        <w:spacing w:before="120"/>
        <w:ind w:left="690" w:hanging="240"/>
        <w:rPr>
          <w:rFonts w:ascii="等线" w:eastAsia="等线" w:hAnsi="Times New Roman"/>
          <w:color w:val="000000"/>
        </w:rPr>
      </w:pPr>
      <w:r w:rsidRPr="00CF3B71">
        <w:rPr>
          <w:rFonts w:ascii="等线" w:eastAsia="等线" w:hAnsi="Times New Roman"/>
          <w:color w:val="000000"/>
        </w:rPr>
        <w:t>Represented Taikang Insurance Group in a series of equity investment and acquisition transactions in third-party payment companies, doctor group companies and medical testing enterprises, etc.</w:t>
      </w:r>
    </w:p>
    <w:p w14:paraId="12A5A04B" w14:textId="77777777" w:rsidR="00CF3B71" w:rsidRDefault="00CF3B71" w:rsidP="00CF3B71">
      <w:pPr>
        <w:pStyle w:val="af5"/>
        <w:numPr>
          <w:ilvl w:val="0"/>
          <w:numId w:val="19"/>
        </w:numPr>
        <w:spacing w:before="120"/>
        <w:ind w:left="690" w:hanging="240"/>
        <w:rPr>
          <w:rFonts w:ascii="等线" w:eastAsia="等线" w:hAnsi="Times New Roman"/>
          <w:color w:val="000000"/>
        </w:rPr>
      </w:pPr>
      <w:r w:rsidRPr="00CF3B71">
        <w:rPr>
          <w:rFonts w:ascii="等线" w:eastAsia="等线" w:hAnsi="Times New Roman"/>
          <w:color w:val="000000"/>
        </w:rPr>
        <w:t>Represented CICC Capital, Kunlun Capital, China Mobile Hechuang and other investors in a series of equity investment transactions in Shandong Future Robot, Shudun Technology and Knownsec</w:t>
      </w:r>
    </w:p>
    <w:p w14:paraId="7B48B960" w14:textId="77777777" w:rsidR="00CF3B71" w:rsidRDefault="00CF3B71" w:rsidP="00CF3B71">
      <w:pPr>
        <w:pStyle w:val="af5"/>
        <w:numPr>
          <w:ilvl w:val="0"/>
          <w:numId w:val="20"/>
        </w:numPr>
        <w:spacing w:before="120"/>
        <w:ind w:left="690" w:hanging="240"/>
        <w:rPr>
          <w:rFonts w:ascii="等线" w:eastAsia="等线" w:hAnsi="Times New Roman"/>
          <w:color w:val="000000"/>
        </w:rPr>
      </w:pPr>
      <w:r w:rsidRPr="00CF3B71">
        <w:rPr>
          <w:rFonts w:ascii="等线" w:eastAsia="等线" w:hAnsi="Times New Roman"/>
          <w:color w:val="000000"/>
        </w:rPr>
        <w:t>Represented Aptiv in its investment in Maxieye, a domestic autonomous driving enterprise</w:t>
      </w:r>
    </w:p>
    <w:p w14:paraId="58E6B5E3" w14:textId="77777777" w:rsidR="00CF3B71" w:rsidRDefault="00CF3B71" w:rsidP="00CF3B71">
      <w:pPr>
        <w:pStyle w:val="af5"/>
        <w:numPr>
          <w:ilvl w:val="0"/>
          <w:numId w:val="21"/>
        </w:numPr>
        <w:spacing w:before="120"/>
        <w:ind w:left="690" w:hanging="240"/>
        <w:rPr>
          <w:rFonts w:ascii="等线" w:eastAsia="等线" w:hAnsi="Times New Roman"/>
          <w:color w:val="000000"/>
        </w:rPr>
      </w:pPr>
      <w:r w:rsidRPr="00CF3B71">
        <w:rPr>
          <w:rFonts w:ascii="等线" w:eastAsia="等线" w:hAnsi="Times New Roman"/>
          <w:color w:val="000000"/>
        </w:rPr>
        <w:t>Represented Medtronic Group in its investment in Surgerii, a medical surgical robot enterprise</w:t>
      </w:r>
    </w:p>
    <w:p w14:paraId="2A7B8B83" w14:textId="77777777" w:rsidR="00CF3B71" w:rsidRDefault="00CF3B71" w:rsidP="00CF3B71">
      <w:pPr>
        <w:pStyle w:val="af5"/>
        <w:numPr>
          <w:ilvl w:val="0"/>
          <w:numId w:val="22"/>
        </w:numPr>
        <w:spacing w:before="120"/>
        <w:ind w:left="690" w:hanging="240"/>
        <w:rPr>
          <w:rFonts w:ascii="等线" w:eastAsia="等线" w:hAnsi="Times New Roman"/>
          <w:color w:val="000000"/>
        </w:rPr>
      </w:pPr>
      <w:r w:rsidRPr="00CF3B71">
        <w:rPr>
          <w:rFonts w:ascii="等线" w:eastAsia="等线" w:hAnsi="Times New Roman"/>
          <w:color w:val="000000"/>
        </w:rPr>
        <w:t>Represented Beijing Science and Technology Innovation Fund, China Mobile Capital</w:t>
      </w:r>
      <w:r w:rsidRPr="00CF3B71">
        <w:rPr>
          <w:rFonts w:ascii="等线" w:eastAsia="等线" w:hAnsi="Times New Roman"/>
          <w:color w:val="000000"/>
        </w:rPr>
        <w:t>’</w:t>
      </w:r>
      <w:r w:rsidRPr="00CF3B71">
        <w:rPr>
          <w:rFonts w:ascii="等线" w:eastAsia="等线" w:hAnsi="Times New Roman"/>
          <w:color w:val="000000"/>
        </w:rPr>
        <w:t>s fund in their LP investments in multiple funds managed by Legend Capital, Qiming Venture Partners, Sequoia Capital, China Capital Management Co., Ltd., 3E Bioventures, Alwin Capital, Essential Capital, Soaring Capital, Chenshan Capital and other fund managers</w:t>
      </w:r>
    </w:p>
    <w:p w14:paraId="404EA388" w14:textId="77777777" w:rsidR="00CF3B71" w:rsidRDefault="00CF3B71" w:rsidP="00CF3B71">
      <w:pPr>
        <w:pStyle w:val="af5"/>
        <w:numPr>
          <w:ilvl w:val="0"/>
          <w:numId w:val="23"/>
        </w:numPr>
        <w:spacing w:before="120"/>
        <w:ind w:left="690" w:hanging="240"/>
        <w:rPr>
          <w:rFonts w:ascii="等线" w:eastAsia="等线" w:hAnsi="Times New Roman"/>
          <w:color w:val="000000"/>
        </w:rPr>
      </w:pPr>
      <w:r w:rsidRPr="00CF3B71">
        <w:rPr>
          <w:rFonts w:ascii="等线" w:eastAsia="等线" w:hAnsi="Times New Roman"/>
          <w:color w:val="000000"/>
        </w:rPr>
        <w:t>Provided legal services for multiple state-owned enterprises including China Reform</w:t>
      </w:r>
    </w:p>
    <w:p w14:paraId="32B5CB89" w14:textId="77777777" w:rsidR="00CF3B71" w:rsidRDefault="00CF3B71" w:rsidP="00CF3B71">
      <w:pPr>
        <w:pStyle w:val="af5"/>
        <w:spacing w:after="0" w:line="480" w:lineRule="auto"/>
        <w:rPr>
          <w:rFonts w:ascii="等线" w:eastAsia="等线" w:hAnsi="等线"/>
          <w:b/>
          <w:sz w:val="24"/>
        </w:rPr>
      </w:pPr>
      <w:r w:rsidRPr="00CF3B71">
        <w:rPr>
          <w:rFonts w:ascii="等线" w:eastAsia="等线" w:hAnsi="等线"/>
          <w:b/>
          <w:sz w:val="24"/>
        </w:rPr>
        <w:t>Education</w:t>
      </w:r>
    </w:p>
    <w:p w14:paraId="7CAD8F40" w14:textId="77777777" w:rsidR="00CF3B71" w:rsidRDefault="00CF3B71" w:rsidP="00CF3B71">
      <w:pPr>
        <w:pStyle w:val="af5"/>
        <w:numPr>
          <w:ilvl w:val="0"/>
          <w:numId w:val="24"/>
        </w:numPr>
        <w:spacing w:before="120"/>
        <w:ind w:left="690" w:hanging="240"/>
        <w:rPr>
          <w:rFonts w:ascii="等线" w:eastAsia="等线" w:hAnsi="Times New Roman"/>
          <w:color w:val="000000"/>
        </w:rPr>
      </w:pPr>
      <w:r w:rsidRPr="00CF3B71">
        <w:rPr>
          <w:rFonts w:ascii="等线" w:eastAsia="等线" w:hAnsi="Times New Roman"/>
          <w:color w:val="000000"/>
        </w:rPr>
        <w:t>Peking University, School of Law, LL.M.</w:t>
      </w:r>
    </w:p>
    <w:p w14:paraId="5385F33D" w14:textId="77777777" w:rsidR="00CF3B71" w:rsidRDefault="00CF3B71" w:rsidP="00CF3B71">
      <w:pPr>
        <w:pStyle w:val="af5"/>
        <w:numPr>
          <w:ilvl w:val="0"/>
          <w:numId w:val="25"/>
        </w:numPr>
        <w:spacing w:before="120"/>
        <w:ind w:left="690" w:hanging="240"/>
        <w:rPr>
          <w:rFonts w:ascii="等线" w:eastAsia="等线" w:hAnsi="Times New Roman"/>
          <w:color w:val="000000"/>
        </w:rPr>
      </w:pPr>
      <w:r w:rsidRPr="00CF3B71">
        <w:rPr>
          <w:rFonts w:ascii="等线" w:eastAsia="等线" w:hAnsi="Times New Roman"/>
          <w:color w:val="000000"/>
        </w:rPr>
        <w:t>Peking University, Yuanpei College, LL.B.</w:t>
      </w:r>
    </w:p>
    <w:p w14:paraId="674CF2EA" w14:textId="77777777" w:rsidR="00CF3B71" w:rsidRDefault="00CF3B71" w:rsidP="00CF3B71">
      <w:pPr>
        <w:pStyle w:val="af5"/>
        <w:spacing w:after="0" w:line="480" w:lineRule="auto"/>
        <w:rPr>
          <w:rFonts w:ascii="等线" w:eastAsia="等线" w:hAnsi="等线"/>
          <w:b/>
          <w:sz w:val="24"/>
        </w:rPr>
      </w:pPr>
      <w:r w:rsidRPr="00CF3B71">
        <w:rPr>
          <w:rFonts w:ascii="等线" w:eastAsia="等线" w:hAnsi="等线"/>
          <w:b/>
          <w:sz w:val="24"/>
        </w:rPr>
        <w:t>Professional Qualification</w:t>
      </w:r>
    </w:p>
    <w:p w14:paraId="5567FC3C" w14:textId="0E0FF020" w:rsidR="00686369" w:rsidRPr="00CF3B71" w:rsidRDefault="00CF3B71" w:rsidP="00CF3B71">
      <w:pPr>
        <w:pStyle w:val="af5"/>
        <w:numPr>
          <w:ilvl w:val="0"/>
          <w:numId w:val="26"/>
        </w:numPr>
        <w:spacing w:before="120"/>
        <w:ind w:left="690" w:hanging="240"/>
        <w:rPr>
          <w:rFonts w:ascii="等线" w:eastAsia="等线" w:hAnsi="Times New Roman"/>
          <w:color w:val="000000"/>
        </w:rPr>
      </w:pPr>
      <w:r w:rsidRPr="00CF3B71">
        <w:rPr>
          <w:rFonts w:ascii="等线" w:eastAsia="等线" w:hAnsi="Times New Roman"/>
          <w:color w:val="000000"/>
        </w:rPr>
        <w:t>Admitted to practice in the PRC</w:t>
      </w:r>
    </w:p>
    <w:sectPr w:rsidR="00686369" w:rsidRPr="00CF3B7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002D5D"/>
    <w:multiLevelType w:val="singleLevel"/>
    <w:tmpl w:val="6B4CB8F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21277A2"/>
    <w:multiLevelType w:val="singleLevel"/>
    <w:tmpl w:val="A12EE34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ACC32FC"/>
    <w:multiLevelType w:val="singleLevel"/>
    <w:tmpl w:val="CB4230F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17D682A"/>
    <w:multiLevelType w:val="singleLevel"/>
    <w:tmpl w:val="20FE32A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2E158B6"/>
    <w:multiLevelType w:val="singleLevel"/>
    <w:tmpl w:val="32A2B66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E0059E5"/>
    <w:multiLevelType w:val="singleLevel"/>
    <w:tmpl w:val="BC36FC0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E766DD4"/>
    <w:multiLevelType w:val="singleLevel"/>
    <w:tmpl w:val="259ADAC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F3B7F72"/>
    <w:multiLevelType w:val="singleLevel"/>
    <w:tmpl w:val="07B4E05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4250A22"/>
    <w:multiLevelType w:val="singleLevel"/>
    <w:tmpl w:val="610EC06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5947A6B"/>
    <w:multiLevelType w:val="singleLevel"/>
    <w:tmpl w:val="DAF2EE7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6224636"/>
    <w:multiLevelType w:val="singleLevel"/>
    <w:tmpl w:val="28F6CED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7EF518B"/>
    <w:multiLevelType w:val="singleLevel"/>
    <w:tmpl w:val="4982730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C2F7C1F"/>
    <w:multiLevelType w:val="singleLevel"/>
    <w:tmpl w:val="133A0C6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CF348A8"/>
    <w:multiLevelType w:val="singleLevel"/>
    <w:tmpl w:val="28F6CED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0FE5FA3"/>
    <w:multiLevelType w:val="singleLevel"/>
    <w:tmpl w:val="E768361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11D1BB3"/>
    <w:multiLevelType w:val="singleLevel"/>
    <w:tmpl w:val="9D0EAC9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26666ED"/>
    <w:multiLevelType w:val="singleLevel"/>
    <w:tmpl w:val="0978B5F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77E516D"/>
    <w:multiLevelType w:val="singleLevel"/>
    <w:tmpl w:val="7CB832B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7DD7A79"/>
    <w:multiLevelType w:val="singleLevel"/>
    <w:tmpl w:val="6368F67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1780ED4"/>
    <w:multiLevelType w:val="singleLevel"/>
    <w:tmpl w:val="94785EB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33D5C12"/>
    <w:multiLevelType w:val="singleLevel"/>
    <w:tmpl w:val="09823B8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6BC7574"/>
    <w:multiLevelType w:val="singleLevel"/>
    <w:tmpl w:val="D9D8B0D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0D1478C"/>
    <w:multiLevelType w:val="singleLevel"/>
    <w:tmpl w:val="294007A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CBB6956"/>
    <w:multiLevelType w:val="singleLevel"/>
    <w:tmpl w:val="49687A54"/>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6"/>
  </w:num>
  <w:num w:numId="3">
    <w:abstractNumId w:val="24"/>
  </w:num>
  <w:num w:numId="4">
    <w:abstractNumId w:val="22"/>
  </w:num>
  <w:num w:numId="5">
    <w:abstractNumId w:val="0"/>
  </w:num>
  <w:num w:numId="6">
    <w:abstractNumId w:val="13"/>
  </w:num>
  <w:num w:numId="7">
    <w:abstractNumId w:val="23"/>
  </w:num>
  <w:num w:numId="8">
    <w:abstractNumId w:val="8"/>
  </w:num>
  <w:num w:numId="9">
    <w:abstractNumId w:val="3"/>
  </w:num>
  <w:num w:numId="10">
    <w:abstractNumId w:val="21"/>
  </w:num>
  <w:num w:numId="11">
    <w:abstractNumId w:val="10"/>
  </w:num>
  <w:num w:numId="12">
    <w:abstractNumId w:val="16"/>
  </w:num>
  <w:num w:numId="13">
    <w:abstractNumId w:val="19"/>
  </w:num>
  <w:num w:numId="14">
    <w:abstractNumId w:val="20"/>
  </w:num>
  <w:num w:numId="15">
    <w:abstractNumId w:val="4"/>
  </w:num>
  <w:num w:numId="16">
    <w:abstractNumId w:val="11"/>
  </w:num>
  <w:num w:numId="17">
    <w:abstractNumId w:val="25"/>
  </w:num>
  <w:num w:numId="18">
    <w:abstractNumId w:val="7"/>
  </w:num>
  <w:num w:numId="19">
    <w:abstractNumId w:val="17"/>
  </w:num>
  <w:num w:numId="20">
    <w:abstractNumId w:val="18"/>
  </w:num>
  <w:num w:numId="21">
    <w:abstractNumId w:val="1"/>
  </w:num>
  <w:num w:numId="22">
    <w:abstractNumId w:val="14"/>
  </w:num>
  <w:num w:numId="23">
    <w:abstractNumId w:val="2"/>
  </w:num>
  <w:num w:numId="24">
    <w:abstractNumId w:val="9"/>
  </w:num>
  <w:num w:numId="25">
    <w:abstractNumId w:val="15"/>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CF3B71"/>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F3B71"/>
    <w:pPr>
      <w:spacing w:after="120"/>
    </w:pPr>
  </w:style>
  <w:style w:type="character" w:customStyle="1" w:styleId="af6">
    <w:name w:val="正文文本 字符"/>
    <w:basedOn w:val="a0"/>
    <w:link w:val="af5"/>
    <w:uiPriority w:val="99"/>
    <w:rsid w:val="00CF3B7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921B8D-EE15-40BF-8E88-A84B18452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481</Words>
  <Characters>2748</Characters>
  <Application>Microsoft Office Word</Application>
  <DocSecurity>0</DocSecurity>
  <Lines>22</Lines>
  <Paragraphs>6</Paragraphs>
  <ScaleCrop>false</ScaleCrop>
  <Company/>
  <LinksUpToDate>false</LinksUpToDate>
  <CharactersWithSpaces>3223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2026-07-13T06:02:00Z</dcterms:created>
  <dcterms:modified xsi:type="dcterms:W3CDTF">2026-07-13T06:02:00Z</dcterms:modified>
</cp:coreProperties>
</file>