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0F8452B" w:rsidR="0049405C" w:rsidRPr="00C24D79" w:rsidRDefault="00AE3ABA" w:rsidP="00AE3ABA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AE3ABA">
              <w:rPr>
                <w:rFonts w:ascii="等线" w:eastAsia="等线" w:hAnsi="Times New Roman"/>
                <w:b/>
                <w:color w:val="000000"/>
                <w:sz w:val="48"/>
              </w:rPr>
              <w:t>MARCUS CHEN</w:t>
            </w:r>
            <w:bookmarkEnd w:id="0"/>
          </w:p>
          <w:p w14:paraId="706EB16B" w14:textId="6F824B26" w:rsidR="0049405C" w:rsidRPr="00C24D79" w:rsidRDefault="00AE3ABA" w:rsidP="00AE3ABA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AE3ABA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AE3ABA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AE3ABA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7489EA69" w:rsidR="0049405C" w:rsidRPr="00C24D79" w:rsidRDefault="00AE3ABA" w:rsidP="00AE3ABA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AE3ABA">
              <w:rPr>
                <w:rFonts w:ascii="等线" w:eastAsia="等线" w:hAnsi="Times New Roman"/>
                <w:color w:val="000000"/>
              </w:rPr>
              <w:t>+86 10 5769 5603</w:t>
            </w:r>
            <w:bookmarkEnd w:id="3"/>
          </w:p>
          <w:p w14:paraId="4F910ACA" w14:textId="69F2B6DA" w:rsidR="0049405C" w:rsidRPr="00C24D79" w:rsidRDefault="00AE3ABA" w:rsidP="00AE3ABA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AE3ABA">
              <w:rPr>
                <w:rFonts w:ascii="等线" w:eastAsia="等线" w:hAnsi="Times New Roman"/>
                <w:color w:val="000000"/>
              </w:rPr>
              <w:t>marcus.chen@fangdalaw.com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07290F4" w:rsidR="0049405C" w:rsidRPr="00C24D79" w:rsidRDefault="00AE3ABA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62FB3AA" wp14:editId="3F4AF82C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1F5DBB04" w:rsidR="009465FB" w:rsidRPr="00C24D79" w:rsidRDefault="00AE3ABA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AE3ABA">
              <w:rPr>
                <w:rFonts w:ascii="等线" w:eastAsia="等线" w:hAnsi="Times New Roman"/>
                <w:color w:val="000000"/>
                <w:szCs w:val="21"/>
              </w:rPr>
              <w:t>MR. CHEN SPECIALIZES IN HONG KONG EQUITY CAPITAL MARKETS, CORPORATE GOVERNANCE, AND COMPLIANCE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595A53B" w14:textId="77777777" w:rsidR="00AE3ABA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1203E94" w14:textId="77777777" w:rsidR="00AE3ABA" w:rsidRDefault="00AE3ABA" w:rsidP="00AE3AB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E3ABA">
        <w:rPr>
          <w:rFonts w:ascii="等线" w:eastAsia="等线" w:hAnsi="等线"/>
          <w:b/>
          <w:sz w:val="24"/>
        </w:rPr>
        <w:t>REPRESENTATIVE MATTERS AND CASES</w:t>
      </w:r>
    </w:p>
    <w:p w14:paraId="14899ADB" w14:textId="77777777" w:rsidR="00AE3ABA" w:rsidRDefault="00AE3ABA" w:rsidP="00AE3ABA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2142D93F" w14:textId="77777777" w:rsidR="00AE3ABA" w:rsidRDefault="00AE3ABA" w:rsidP="00AE3ABA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3ABA">
        <w:rPr>
          <w:rFonts w:ascii="等线" w:eastAsia="等线" w:hAnsi="Times New Roman"/>
          <w:color w:val="000000"/>
        </w:rPr>
        <w:t>Represented Breton Technology in its IPO and listing on the Hong Kong Stock Exchange</w:t>
      </w:r>
    </w:p>
    <w:p w14:paraId="09D09CAF" w14:textId="77777777" w:rsidR="00AE3ABA" w:rsidRDefault="00AE3ABA" w:rsidP="00AE3ABA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3ABA">
        <w:rPr>
          <w:rFonts w:ascii="等线" w:eastAsia="等线" w:hAnsi="Times New Roman"/>
          <w:color w:val="000000"/>
        </w:rPr>
        <w:t>Represented Hangzhou Jiuyuan Genetic Biopharmaceutical in its IPO and listing on the Hong Kong Stock Exchange</w:t>
      </w:r>
    </w:p>
    <w:p w14:paraId="48BE7198" w14:textId="77777777" w:rsidR="00AE3ABA" w:rsidRDefault="00AE3ABA" w:rsidP="00AE3ABA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3ABA">
        <w:rPr>
          <w:rFonts w:ascii="等线" w:eastAsia="等线" w:hAnsi="Times New Roman"/>
          <w:color w:val="000000"/>
        </w:rPr>
        <w:t>Represented the underwriters in Qunabox Group</w:t>
      </w:r>
      <w:r w:rsidRPr="00AE3ABA">
        <w:rPr>
          <w:rFonts w:ascii="等线" w:eastAsia="等线" w:hAnsi="Times New Roman"/>
          <w:color w:val="000000"/>
        </w:rPr>
        <w:t>’</w:t>
      </w:r>
      <w:r w:rsidRPr="00AE3ABA">
        <w:rPr>
          <w:rFonts w:ascii="等线" w:eastAsia="等线" w:hAnsi="Times New Roman"/>
          <w:color w:val="000000"/>
        </w:rPr>
        <w:t>s IPO and listing on the Hong Kong Stock Exchange</w:t>
      </w:r>
    </w:p>
    <w:p w14:paraId="3596A304" w14:textId="77777777" w:rsidR="00AE3ABA" w:rsidRDefault="00AE3ABA" w:rsidP="00AE3ABA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3ABA">
        <w:rPr>
          <w:rFonts w:ascii="等线" w:eastAsia="等线" w:hAnsi="Times New Roman"/>
          <w:color w:val="000000"/>
        </w:rPr>
        <w:t>Represented GOGOX Holdings in its IPO and listing on the Hong Kong Stock Exchange</w:t>
      </w:r>
    </w:p>
    <w:p w14:paraId="0EBB5E9D" w14:textId="77777777" w:rsidR="00AE3ABA" w:rsidRDefault="00AE3ABA" w:rsidP="00AE3ABA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3ABA">
        <w:rPr>
          <w:rFonts w:ascii="等线" w:eastAsia="等线" w:hAnsi="Times New Roman"/>
          <w:color w:val="000000"/>
        </w:rPr>
        <w:t>Represented Digital Hollywood Interactive in its IPO and listing on the Hong Kong Stock Exchange</w:t>
      </w:r>
    </w:p>
    <w:p w14:paraId="4563839F" w14:textId="77777777" w:rsidR="00AE3ABA" w:rsidRDefault="00AE3ABA" w:rsidP="00AE3ABA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3ABA">
        <w:rPr>
          <w:rFonts w:ascii="等线" w:eastAsia="等线" w:hAnsi="Times New Roman"/>
          <w:color w:val="000000"/>
        </w:rPr>
        <w:t>Represented China Wan Tong Yuan Holdings in its IPO, listing, and transfer of listing on the Main Board of the Hong Kong Stock Exchange</w:t>
      </w:r>
    </w:p>
    <w:p w14:paraId="099983CA" w14:textId="77777777" w:rsidR="00AE3ABA" w:rsidRDefault="00AE3ABA" w:rsidP="00AE3ABA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3ABA">
        <w:rPr>
          <w:rFonts w:ascii="等线" w:eastAsia="等线" w:hAnsi="Times New Roman"/>
          <w:color w:val="000000"/>
        </w:rPr>
        <w:t>Represented BAIC Motor in its IPO and listing on the Hong Kong Stock Exchange</w:t>
      </w:r>
    </w:p>
    <w:p w14:paraId="0236355E" w14:textId="77777777" w:rsidR="00AE3ABA" w:rsidRDefault="00AE3ABA" w:rsidP="00AE3ABA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3ABA">
        <w:rPr>
          <w:rFonts w:ascii="等线" w:eastAsia="等线" w:hAnsi="Times New Roman"/>
          <w:color w:val="000000"/>
        </w:rPr>
        <w:t>Represented the underwriters in PW Medtech Group</w:t>
      </w:r>
      <w:r w:rsidRPr="00AE3ABA">
        <w:rPr>
          <w:rFonts w:ascii="等线" w:eastAsia="等线" w:hAnsi="Times New Roman"/>
          <w:color w:val="000000"/>
        </w:rPr>
        <w:t>’</w:t>
      </w:r>
      <w:r w:rsidRPr="00AE3ABA">
        <w:rPr>
          <w:rFonts w:ascii="等线" w:eastAsia="等线" w:hAnsi="Times New Roman"/>
          <w:color w:val="000000"/>
        </w:rPr>
        <w:t>s IPO and listing on the Hong Kong Stock Exchange</w:t>
      </w:r>
    </w:p>
    <w:p w14:paraId="4265CF57" w14:textId="77777777" w:rsidR="00AE3ABA" w:rsidRDefault="00AE3ABA" w:rsidP="00AE3ABA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3ABA">
        <w:rPr>
          <w:rFonts w:ascii="等线" w:eastAsia="等线" w:hAnsi="Times New Roman"/>
          <w:color w:val="000000"/>
        </w:rPr>
        <w:t>Represented the underwriters in China Galaxy Securities</w:t>
      </w:r>
      <w:r w:rsidRPr="00AE3ABA">
        <w:rPr>
          <w:rFonts w:ascii="等线" w:eastAsia="等线" w:hAnsi="Times New Roman"/>
          <w:color w:val="000000"/>
        </w:rPr>
        <w:t>’</w:t>
      </w:r>
      <w:r w:rsidRPr="00AE3ABA">
        <w:rPr>
          <w:rFonts w:ascii="等线" w:eastAsia="等线" w:hAnsi="Times New Roman"/>
          <w:color w:val="000000"/>
        </w:rPr>
        <w:t xml:space="preserve"> IPO and listing on the Hong Kong Stock Exchange</w:t>
      </w:r>
    </w:p>
    <w:p w14:paraId="65AA0FF4" w14:textId="77777777" w:rsidR="00AE3ABA" w:rsidRDefault="00AE3ABA" w:rsidP="00AE3ABA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3ABA">
        <w:rPr>
          <w:rFonts w:ascii="等线" w:eastAsia="等线" w:hAnsi="Times New Roman"/>
          <w:color w:val="000000"/>
        </w:rPr>
        <w:t>Represented China Aluminum International Engineering in its IPO and listing on the Hong Kong Stock Exchange</w:t>
      </w:r>
    </w:p>
    <w:p w14:paraId="2D52BD17" w14:textId="77777777" w:rsidR="00AE3ABA" w:rsidRDefault="00AE3ABA" w:rsidP="00AE3ABA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3ABA">
        <w:rPr>
          <w:rFonts w:ascii="等线" w:eastAsia="等线" w:hAnsi="Times New Roman"/>
          <w:color w:val="000000"/>
        </w:rPr>
        <w:t>Represented China Hanking Holdings in its IPO and listing on the Hong Kong Stock Exchange</w:t>
      </w:r>
    </w:p>
    <w:p w14:paraId="32250A60" w14:textId="77777777" w:rsidR="00AE3ABA" w:rsidRDefault="00AE3ABA" w:rsidP="00AE3ABA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3ABA">
        <w:rPr>
          <w:rFonts w:ascii="等线" w:eastAsia="等线" w:hAnsi="Times New Roman"/>
          <w:color w:val="000000"/>
        </w:rPr>
        <w:t>Represented the underwriters in Da Ming International Holdings</w:t>
      </w:r>
      <w:r w:rsidRPr="00AE3ABA">
        <w:rPr>
          <w:rFonts w:ascii="等线" w:eastAsia="等线" w:hAnsi="Times New Roman"/>
          <w:color w:val="000000"/>
        </w:rPr>
        <w:t>’</w:t>
      </w:r>
      <w:r w:rsidRPr="00AE3ABA">
        <w:rPr>
          <w:rFonts w:ascii="等线" w:eastAsia="等线" w:hAnsi="Times New Roman"/>
          <w:color w:val="000000"/>
        </w:rPr>
        <w:t xml:space="preserve"> IPO and listing on the Hong Kong Stock Exchange</w:t>
      </w:r>
    </w:p>
    <w:p w14:paraId="08A39EB6" w14:textId="77777777" w:rsidR="00AE3ABA" w:rsidRDefault="00AE3ABA" w:rsidP="00AE3ABA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3ABA">
        <w:rPr>
          <w:rFonts w:ascii="等线" w:eastAsia="等线" w:hAnsi="Times New Roman"/>
          <w:color w:val="000000"/>
        </w:rPr>
        <w:t>Represented China Datang Corporation Renewable Power in its IPO and listing on the Hong Kong Stock Exchange</w:t>
      </w:r>
    </w:p>
    <w:p w14:paraId="02598C55" w14:textId="77777777" w:rsidR="00AE3ABA" w:rsidRDefault="00AE3ABA" w:rsidP="00AE3ABA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3ABA">
        <w:rPr>
          <w:rFonts w:ascii="等线" w:eastAsia="等线" w:hAnsi="Times New Roman"/>
          <w:color w:val="000000"/>
        </w:rPr>
        <w:t>Represented the underwriters in China Hongqiao Group</w:t>
      </w:r>
      <w:r w:rsidRPr="00AE3ABA">
        <w:rPr>
          <w:rFonts w:ascii="等线" w:eastAsia="等线" w:hAnsi="Times New Roman"/>
          <w:color w:val="000000"/>
        </w:rPr>
        <w:t>’</w:t>
      </w:r>
      <w:r w:rsidRPr="00AE3ABA">
        <w:rPr>
          <w:rFonts w:ascii="等线" w:eastAsia="等线" w:hAnsi="Times New Roman"/>
          <w:color w:val="000000"/>
        </w:rPr>
        <w:t>s IPO and listing on the Hong Kong Stock Exchange</w:t>
      </w:r>
    </w:p>
    <w:p w14:paraId="1BB7979D" w14:textId="77777777" w:rsidR="00AE3ABA" w:rsidRDefault="00AE3ABA" w:rsidP="00AE3ABA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3ABA">
        <w:rPr>
          <w:rFonts w:ascii="等线" w:eastAsia="等线" w:hAnsi="Times New Roman"/>
          <w:color w:val="000000"/>
        </w:rPr>
        <w:t>Represented HongShan Capital China in various pre-IPO investments, cornerstone investments, listed company investments, and block trade transactions in the Hong Kong capital market</w:t>
      </w:r>
    </w:p>
    <w:p w14:paraId="43316F1D" w14:textId="77777777" w:rsidR="00AE3ABA" w:rsidRDefault="00AE3ABA" w:rsidP="00AE3ABA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3ABA">
        <w:rPr>
          <w:rFonts w:ascii="等线" w:eastAsia="等线" w:hAnsi="Times New Roman"/>
          <w:color w:val="000000"/>
        </w:rPr>
        <w:t>Represented Warburg Pincus in various pre-IPO investments and block trade transactions in the Hong Kong capital market</w:t>
      </w:r>
    </w:p>
    <w:p w14:paraId="526D55E1" w14:textId="77777777" w:rsidR="00AE3ABA" w:rsidRDefault="00AE3ABA" w:rsidP="00AE3ABA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3ABA">
        <w:rPr>
          <w:rFonts w:ascii="等线" w:eastAsia="等线" w:hAnsi="Times New Roman"/>
          <w:color w:val="000000"/>
        </w:rPr>
        <w:t>Represented Genertec Universal Medical Group in its issuance of guaranteed convertible bonds and new shares and its various acquisitions in the healthcare sector</w:t>
      </w:r>
    </w:p>
    <w:p w14:paraId="668AFEE5" w14:textId="77777777" w:rsidR="00AE3ABA" w:rsidRDefault="00AE3ABA" w:rsidP="00AE3AB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E3ABA">
        <w:rPr>
          <w:rFonts w:ascii="等线" w:eastAsia="等线" w:hAnsi="等线"/>
          <w:b/>
          <w:sz w:val="24"/>
        </w:rPr>
        <w:t>Education</w:t>
      </w:r>
    </w:p>
    <w:p w14:paraId="4EE134AC" w14:textId="77777777" w:rsidR="00AE3ABA" w:rsidRDefault="00AE3ABA" w:rsidP="00AE3ABA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3ABA">
        <w:rPr>
          <w:rFonts w:ascii="等线" w:eastAsia="等线" w:hAnsi="Times New Roman"/>
          <w:color w:val="000000"/>
        </w:rPr>
        <w:t>Columbia Law School, LL.M. (Harlan Fiske Stone Scholar)</w:t>
      </w:r>
    </w:p>
    <w:p w14:paraId="64F695FC" w14:textId="77777777" w:rsidR="00AE3ABA" w:rsidRDefault="00AE3ABA" w:rsidP="00AE3ABA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3ABA">
        <w:rPr>
          <w:rFonts w:ascii="等线" w:eastAsia="等线" w:hAnsi="Times New Roman"/>
          <w:color w:val="000000"/>
        </w:rPr>
        <w:t>China University of Political Science and Law, LL.B.</w:t>
      </w:r>
    </w:p>
    <w:p w14:paraId="73DDF0FD" w14:textId="77777777" w:rsidR="00AE3ABA" w:rsidRDefault="00AE3ABA" w:rsidP="00AE3AB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E3ABA">
        <w:rPr>
          <w:rFonts w:ascii="等线" w:eastAsia="等线" w:hAnsi="等线"/>
          <w:b/>
          <w:sz w:val="24"/>
        </w:rPr>
        <w:t>Professional Qualification</w:t>
      </w:r>
    </w:p>
    <w:p w14:paraId="483DBB31" w14:textId="77777777" w:rsidR="00AE3ABA" w:rsidRDefault="00AE3ABA" w:rsidP="00AE3ABA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3ABA">
        <w:rPr>
          <w:rFonts w:ascii="等线" w:eastAsia="等线" w:hAnsi="Times New Roman"/>
          <w:color w:val="000000"/>
        </w:rPr>
        <w:t>Passed the PRC bar examination</w:t>
      </w:r>
    </w:p>
    <w:p w14:paraId="688B11A2" w14:textId="77777777" w:rsidR="00AE3ABA" w:rsidRDefault="00AE3ABA" w:rsidP="00AE3ABA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3ABA">
        <w:rPr>
          <w:rFonts w:ascii="等线" w:eastAsia="等线" w:hAnsi="Times New Roman"/>
          <w:color w:val="000000"/>
        </w:rPr>
        <w:t>Admitted to practice in New York</w:t>
      </w:r>
    </w:p>
    <w:p w14:paraId="0879BAE3" w14:textId="77777777" w:rsidR="00AE3ABA" w:rsidRDefault="00AE3ABA" w:rsidP="00AE3AB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E3ABA">
        <w:rPr>
          <w:rFonts w:ascii="等线" w:eastAsia="等线" w:hAnsi="等线"/>
          <w:b/>
          <w:sz w:val="24"/>
        </w:rPr>
        <w:t>Work Language</w:t>
      </w:r>
    </w:p>
    <w:p w14:paraId="3AAD001A" w14:textId="77777777" w:rsidR="00AE3ABA" w:rsidRDefault="00AE3ABA" w:rsidP="00AE3ABA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3ABA">
        <w:rPr>
          <w:rFonts w:ascii="等线" w:eastAsia="等线" w:hAnsi="Times New Roman"/>
          <w:color w:val="000000"/>
        </w:rPr>
        <w:t>English</w:t>
      </w:r>
    </w:p>
    <w:p w14:paraId="4368996D" w14:textId="77777777" w:rsidR="00AE3ABA" w:rsidRDefault="00AE3ABA" w:rsidP="00AE3ABA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3ABA">
        <w:rPr>
          <w:rFonts w:ascii="等线" w:eastAsia="等线" w:hAnsi="Times New Roman"/>
          <w:color w:val="000000"/>
        </w:rPr>
        <w:t xml:space="preserve">Mandarin </w:t>
      </w:r>
    </w:p>
    <w:p w14:paraId="0BDED8DC" w14:textId="77777777" w:rsidR="00AE3ABA" w:rsidRDefault="00AE3ABA" w:rsidP="00AE3ABA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3ABA">
        <w:rPr>
          <w:rFonts w:ascii="等线" w:eastAsia="等线" w:hAnsi="Times New Roman"/>
          <w:color w:val="000000"/>
        </w:rPr>
        <w:t>Cantonese</w:t>
      </w:r>
    </w:p>
    <w:p w14:paraId="5C17DB6F" w14:textId="77777777" w:rsidR="00AE3ABA" w:rsidRDefault="00AE3ABA" w:rsidP="00AE3AB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AE3ABA">
        <w:rPr>
          <w:rFonts w:ascii="等线" w:eastAsia="等线" w:hAnsi="等线"/>
          <w:b/>
          <w:sz w:val="24"/>
        </w:rPr>
        <w:t>Professional Background</w:t>
      </w:r>
    </w:p>
    <w:p w14:paraId="5567FC3C" w14:textId="1A4A265D" w:rsidR="00686369" w:rsidRPr="00AE3ABA" w:rsidRDefault="00AE3ABA" w:rsidP="00AE3ABA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AE3ABA">
        <w:rPr>
          <w:rFonts w:ascii="等线" w:eastAsia="等线" w:hAnsi="Times New Roman"/>
          <w:color w:val="000000"/>
        </w:rPr>
        <w:t>Mr. Chen joined Fangda in 2026. Before joining the firm, he worked at major law firms, including Cooley LLP, Wilson Sonsini Goodrich &amp; Rosati, and Clifford Chance.</w:t>
      </w:r>
    </w:p>
    <w:sectPr w:rsidR="00686369" w:rsidRPr="00AE3ABA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30988"/>
    <w:multiLevelType w:val="singleLevel"/>
    <w:tmpl w:val="682E16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98B4B3C"/>
    <w:multiLevelType w:val="singleLevel"/>
    <w:tmpl w:val="6A0252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B2B3196"/>
    <w:multiLevelType w:val="singleLevel"/>
    <w:tmpl w:val="535C50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C054C71"/>
    <w:multiLevelType w:val="singleLevel"/>
    <w:tmpl w:val="3E164D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C8D3D06"/>
    <w:multiLevelType w:val="singleLevel"/>
    <w:tmpl w:val="82BCEA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00F38B1"/>
    <w:multiLevelType w:val="singleLevel"/>
    <w:tmpl w:val="A20424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10E0267"/>
    <w:multiLevelType w:val="singleLevel"/>
    <w:tmpl w:val="535C50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81931A3"/>
    <w:multiLevelType w:val="singleLevel"/>
    <w:tmpl w:val="413AB6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88D5C2A"/>
    <w:multiLevelType w:val="singleLevel"/>
    <w:tmpl w:val="CEAE84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5720C4A"/>
    <w:multiLevelType w:val="singleLevel"/>
    <w:tmpl w:val="BC5A79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B0C7755"/>
    <w:multiLevelType w:val="singleLevel"/>
    <w:tmpl w:val="B8E015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40607736"/>
    <w:multiLevelType w:val="singleLevel"/>
    <w:tmpl w:val="31C6E7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0AD6A3C"/>
    <w:multiLevelType w:val="singleLevel"/>
    <w:tmpl w:val="A3C686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5A87535"/>
    <w:multiLevelType w:val="singleLevel"/>
    <w:tmpl w:val="2020D1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5B61B0B"/>
    <w:multiLevelType w:val="singleLevel"/>
    <w:tmpl w:val="EDB4C4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A9A30EA"/>
    <w:multiLevelType w:val="singleLevel"/>
    <w:tmpl w:val="327297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86A20D9"/>
    <w:multiLevelType w:val="singleLevel"/>
    <w:tmpl w:val="55225D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B187201"/>
    <w:multiLevelType w:val="singleLevel"/>
    <w:tmpl w:val="796C86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C9A3C24"/>
    <w:multiLevelType w:val="singleLevel"/>
    <w:tmpl w:val="6F5809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2896F91"/>
    <w:multiLevelType w:val="singleLevel"/>
    <w:tmpl w:val="0E94A4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2A5297D"/>
    <w:multiLevelType w:val="singleLevel"/>
    <w:tmpl w:val="D6F61E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3BF687E"/>
    <w:multiLevelType w:val="singleLevel"/>
    <w:tmpl w:val="62165F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7877031"/>
    <w:multiLevelType w:val="singleLevel"/>
    <w:tmpl w:val="346ED6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60440D0"/>
    <w:multiLevelType w:val="singleLevel"/>
    <w:tmpl w:val="C34015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7BD6249"/>
    <w:multiLevelType w:val="singleLevel"/>
    <w:tmpl w:val="11449C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9563240"/>
    <w:multiLevelType w:val="singleLevel"/>
    <w:tmpl w:val="8AB00C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9"/>
  </w:num>
  <w:num w:numId="2">
    <w:abstractNumId w:val="12"/>
  </w:num>
  <w:num w:numId="3">
    <w:abstractNumId w:val="20"/>
  </w:num>
  <w:num w:numId="4">
    <w:abstractNumId w:val="24"/>
  </w:num>
  <w:num w:numId="5">
    <w:abstractNumId w:val="10"/>
  </w:num>
  <w:num w:numId="6">
    <w:abstractNumId w:val="27"/>
  </w:num>
  <w:num w:numId="7">
    <w:abstractNumId w:val="5"/>
  </w:num>
  <w:num w:numId="8">
    <w:abstractNumId w:val="25"/>
  </w:num>
  <w:num w:numId="9">
    <w:abstractNumId w:val="13"/>
  </w:num>
  <w:num w:numId="10">
    <w:abstractNumId w:val="16"/>
  </w:num>
  <w:num w:numId="11">
    <w:abstractNumId w:val="19"/>
  </w:num>
  <w:num w:numId="12">
    <w:abstractNumId w:val="21"/>
  </w:num>
  <w:num w:numId="13">
    <w:abstractNumId w:val="8"/>
  </w:num>
  <w:num w:numId="14">
    <w:abstractNumId w:val="26"/>
  </w:num>
  <w:num w:numId="15">
    <w:abstractNumId w:val="18"/>
  </w:num>
  <w:num w:numId="16">
    <w:abstractNumId w:val="11"/>
  </w:num>
  <w:num w:numId="17">
    <w:abstractNumId w:val="7"/>
  </w:num>
  <w:num w:numId="18">
    <w:abstractNumId w:val="14"/>
  </w:num>
  <w:num w:numId="19">
    <w:abstractNumId w:val="15"/>
  </w:num>
  <w:num w:numId="20">
    <w:abstractNumId w:val="3"/>
  </w:num>
  <w:num w:numId="21">
    <w:abstractNumId w:val="23"/>
  </w:num>
  <w:num w:numId="22">
    <w:abstractNumId w:val="22"/>
  </w:num>
  <w:num w:numId="23">
    <w:abstractNumId w:val="4"/>
  </w:num>
  <w:num w:numId="24">
    <w:abstractNumId w:val="1"/>
  </w:num>
  <w:num w:numId="25">
    <w:abstractNumId w:val="0"/>
  </w:num>
  <w:num w:numId="26">
    <w:abstractNumId w:val="17"/>
  </w:num>
  <w:num w:numId="27">
    <w:abstractNumId w:val="6"/>
  </w:num>
  <w:num w:numId="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AE3ABA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AE3ABA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AE3ABA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C05DD2D-F250-4DF0-8545-22B4F3C49F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380</Words>
  <Characters>2166</Characters>
  <Application>Microsoft Office Word</Application>
  <DocSecurity>0</DocSecurity>
  <Lines>18</Lines>
  <Paragraphs>5</Paragraphs>
  <ScaleCrop>false</ScaleCrop>
  <Company/>
  <LinksUpToDate>false</LinksUpToDate>
  <CharactersWithSpaces>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2026-05-14T15:37:00Z</dcterms:created>
  <dcterms:modified xsi:type="dcterms:W3CDTF">2026-05-14T15:37:00Z</dcterms:modified>
</cp:coreProperties>
</file>