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4F4ECF0" w:rsidR="0049405C" w:rsidRPr="00C24D79" w:rsidRDefault="00BD62F7" w:rsidP="00BD62F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D62F7">
              <w:rPr>
                <w:rFonts w:ascii="等线" w:eastAsia="等线" w:hAnsi="Times New Roman"/>
                <w:b/>
                <w:color w:val="000000"/>
                <w:sz w:val="48"/>
              </w:rPr>
              <w:t>LULU XI</w:t>
            </w:r>
            <w:bookmarkEnd w:id="0"/>
          </w:p>
          <w:p w14:paraId="706EB16B" w14:textId="53329A5D" w:rsidR="0049405C" w:rsidRPr="00C24D79" w:rsidRDefault="00BD62F7" w:rsidP="00BD62F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D62F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D62F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D62F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758C032" w:rsidR="0049405C" w:rsidRPr="00C24D79" w:rsidRDefault="00BD62F7" w:rsidP="00BD62F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D62F7">
              <w:rPr>
                <w:rFonts w:ascii="等线" w:eastAsia="等线" w:hAnsi="Times New Roman"/>
                <w:color w:val="000000"/>
              </w:rPr>
              <w:t>+86 21 6263 5993</w:t>
            </w:r>
            <w:bookmarkEnd w:id="3"/>
          </w:p>
          <w:p w14:paraId="4F910ACA" w14:textId="02D212E9" w:rsidR="0049405C" w:rsidRPr="00C24D79" w:rsidRDefault="00BD62F7" w:rsidP="00BD62F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D62F7">
              <w:rPr>
                <w:rFonts w:ascii="等线" w:eastAsia="等线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B9644D5" w:rsidR="0049405C" w:rsidRPr="00C24D79" w:rsidRDefault="00BD62F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DB91B8" wp14:editId="2F8172F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02C38D4" w:rsidR="009465FB" w:rsidRPr="00C24D79" w:rsidRDefault="00BD62F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D62F7">
              <w:rPr>
                <w:rFonts w:ascii="等线" w:eastAsia="等线" w:hAnsi="Times New Roman"/>
                <w:color w:val="000000"/>
                <w:szCs w:val="21"/>
              </w:rPr>
              <w:t>MS. XI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788C929" w14:textId="77777777" w:rsidR="00BD62F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44674C3" w14:textId="77777777" w:rsidR="00BD62F7" w:rsidRDefault="00BD62F7" w:rsidP="00BD62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62F7">
        <w:rPr>
          <w:rFonts w:ascii="等线" w:eastAsia="等线" w:hAnsi="等线"/>
          <w:b/>
          <w:sz w:val="24"/>
        </w:rPr>
        <w:t>REPRESENTATIVE MATTERS AND CASES</w:t>
      </w:r>
    </w:p>
    <w:p w14:paraId="28D85ECA" w14:textId="77777777" w:rsidR="00BD62F7" w:rsidRDefault="00BD62F7" w:rsidP="00BD62F7">
      <w:pPr>
        <w:pStyle w:val="af5"/>
        <w:spacing w:before="12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Capital Markets</w:t>
      </w:r>
    </w:p>
    <w:p w14:paraId="750591D7" w14:textId="77777777" w:rsidR="00BD62F7" w:rsidRDefault="00BD62F7" w:rsidP="00BD62F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Chongqing Afari (601777.SH) in its H-share IPO</w:t>
      </w:r>
    </w:p>
    <w:p w14:paraId="46A00125" w14:textId="77777777" w:rsidR="00BD62F7" w:rsidRDefault="00BD62F7" w:rsidP="00BD62F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the sponsor in the H-share IPO of Jin Jiang Hotels</w:t>
      </w:r>
    </w:p>
    <w:p w14:paraId="0E50FCF8" w14:textId="77777777" w:rsidR="00BD62F7" w:rsidRDefault="00BD62F7" w:rsidP="00BD62F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Banma Network in its H-share IPO</w:t>
      </w:r>
    </w:p>
    <w:p w14:paraId="5B776509" w14:textId="77777777" w:rsidR="00BD62F7" w:rsidRDefault="00BD62F7" w:rsidP="00BD62F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ZENERGY (03677.HK) in its H-share IPO</w:t>
      </w:r>
    </w:p>
    <w:p w14:paraId="0B40BBCC" w14:textId="77777777" w:rsidR="00BD62F7" w:rsidRDefault="00BD62F7" w:rsidP="00BD62F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Junshi Biosciences (01877.HK) in its H-share IPO</w:t>
      </w:r>
    </w:p>
    <w:p w14:paraId="4166FD4D" w14:textId="77777777" w:rsidR="00BD62F7" w:rsidRDefault="00BD62F7" w:rsidP="00BD62F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the sponsor in the H-share IPO of WuXi AppTec (02359.HK)</w:t>
      </w:r>
    </w:p>
    <w:p w14:paraId="569EC65F" w14:textId="77777777" w:rsidR="00BD62F7" w:rsidRDefault="00BD62F7" w:rsidP="00BD62F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the sponsor in the A-share IPO of SMIC (688981.SH)</w:t>
      </w:r>
    </w:p>
    <w:p w14:paraId="0768564A" w14:textId="77777777" w:rsidR="00BD62F7" w:rsidRDefault="00BD62F7" w:rsidP="00BD62F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Fudan-Zhangjiang (688505.SH) in its A-share IPO</w:t>
      </w:r>
    </w:p>
    <w:p w14:paraId="4C714E86" w14:textId="77777777" w:rsidR="00BD62F7" w:rsidRDefault="00BD62F7" w:rsidP="00BD62F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the sponsor in the A-share IPO of WuXi AppTec (603259.SH)</w:t>
      </w:r>
    </w:p>
    <w:p w14:paraId="23F255E7" w14:textId="77777777" w:rsidR="00BD62F7" w:rsidRDefault="00BD62F7" w:rsidP="00BD62F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the sponsor in the A-share IPO of New Centurion Network (605389.SH)</w:t>
      </w:r>
    </w:p>
    <w:p w14:paraId="7EC1BFC2" w14:textId="77777777" w:rsidR="00BD62F7" w:rsidRDefault="00BD62F7" w:rsidP="00BD62F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Ant Group in its A-share and H-share IPO</w:t>
      </w:r>
    </w:p>
    <w:p w14:paraId="30FDAD31" w14:textId="77777777" w:rsidR="00BD62F7" w:rsidRDefault="00BD62F7" w:rsidP="00BD62F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Blue Silver (300293.SZ) in its refinancing</w:t>
      </w:r>
    </w:p>
    <w:p w14:paraId="4D9E938D" w14:textId="77777777" w:rsidR="00BD62F7" w:rsidRDefault="00BD62F7" w:rsidP="00BD62F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Shanghai Hequan in its refinancing</w:t>
      </w:r>
    </w:p>
    <w:p w14:paraId="5FEF089E" w14:textId="77777777" w:rsidR="00BD62F7" w:rsidRDefault="00BD62F7" w:rsidP="00BD62F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Bright Power Semiconductor (688368.SH) in its material asset restructuring</w:t>
      </w:r>
    </w:p>
    <w:p w14:paraId="7DDD3DA0" w14:textId="77777777" w:rsidR="00BD62F7" w:rsidRDefault="00BD62F7" w:rsidP="00BD62F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CTS (603128.SH) in acquiring control of Hangzhou Jiacheng International Logistics Co., Ltd</w:t>
      </w:r>
    </w:p>
    <w:p w14:paraId="189A4359" w14:textId="77777777" w:rsidR="00BD62F7" w:rsidRDefault="00BD62F7" w:rsidP="00BD62F7">
      <w:pPr>
        <w:pStyle w:val="af5"/>
        <w:spacing w:before="12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Private Equity</w:t>
      </w:r>
    </w:p>
    <w:p w14:paraId="5BFA9A82" w14:textId="77777777" w:rsidR="00BD62F7" w:rsidRDefault="00BD62F7" w:rsidP="00BD62F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Alibaba, Boyu Capital, Ping An Asset Management, Hillhouse Capital, PAG,</w:t>
      </w:r>
      <w:r w:rsidRPr="00BD62F7">
        <w:rPr>
          <w:rFonts w:ascii="等线" w:eastAsia="等线" w:hAnsi="Times New Roman"/>
          <w:color w:val="000000"/>
        </w:rPr>
        <w:t> </w:t>
      </w:r>
      <w:r w:rsidRPr="00BD62F7">
        <w:rPr>
          <w:rFonts w:ascii="等线" w:eastAsia="等线" w:hAnsi="Times New Roman"/>
          <w:color w:val="000000"/>
        </w:rPr>
        <w:t xml:space="preserve"> CPE and Huada Semiconductor in their investment transactions</w:t>
      </w:r>
    </w:p>
    <w:p w14:paraId="44CDFF42" w14:textId="77777777" w:rsidR="00BD62F7" w:rsidRDefault="00BD62F7" w:rsidP="00BD62F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CBC Group in divesting its controlling stake in a medical device company</w:t>
      </w:r>
    </w:p>
    <w:p w14:paraId="30AF188D" w14:textId="77777777" w:rsidR="00BD62F7" w:rsidRDefault="00BD62F7" w:rsidP="00BD62F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Abachem (300261.SZ) in its investment transactions</w:t>
      </w:r>
    </w:p>
    <w:p w14:paraId="5E45DECF" w14:textId="77777777" w:rsidR="00BD62F7" w:rsidRDefault="00BD62F7" w:rsidP="00BD62F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Huada Semiconductor in its mixed-ownership reform</w:t>
      </w:r>
    </w:p>
    <w:p w14:paraId="04C7A33D" w14:textId="77777777" w:rsidR="00BD62F7" w:rsidRDefault="00BD62F7" w:rsidP="00BD62F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AST and CECS in their financing matters</w:t>
      </w:r>
    </w:p>
    <w:p w14:paraId="4549C7B6" w14:textId="77777777" w:rsidR="00BD62F7" w:rsidRDefault="00BD62F7" w:rsidP="00BD62F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Will Semiconductor in its outbound investment</w:t>
      </w:r>
    </w:p>
    <w:p w14:paraId="365588CE" w14:textId="77777777" w:rsidR="00BD62F7" w:rsidRDefault="00BD62F7" w:rsidP="00BD62F7">
      <w:pPr>
        <w:pStyle w:val="af5"/>
        <w:spacing w:before="12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General Corporate</w:t>
      </w:r>
    </w:p>
    <w:p w14:paraId="498056A2" w14:textId="77777777" w:rsidR="00BD62F7" w:rsidRDefault="00BD62F7" w:rsidP="00BD62F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Represented Shanghai Yunxin in its post-investment legal services</w:t>
      </w:r>
    </w:p>
    <w:p w14:paraId="26ED9384" w14:textId="77777777" w:rsidR="00BD62F7" w:rsidRDefault="00BD62F7" w:rsidP="00BD62F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Served as outside counsel to Huada Semiconductor, Fudan-Zhangjiang (688505.SH), Highly (600619.SH), Jin Jiang Hotels (600754.SH), Abachem (300261.SZ), and Quanzhu (603030.SH)</w:t>
      </w:r>
    </w:p>
    <w:p w14:paraId="32F5E4BF" w14:textId="77777777" w:rsidR="00BD62F7" w:rsidRDefault="00BD62F7" w:rsidP="00BD62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62F7">
        <w:rPr>
          <w:rFonts w:ascii="等线" w:eastAsia="等线" w:hAnsi="等线"/>
          <w:b/>
          <w:sz w:val="24"/>
        </w:rPr>
        <w:t>Education</w:t>
      </w:r>
    </w:p>
    <w:p w14:paraId="6DE17973" w14:textId="77777777" w:rsidR="00BD62F7" w:rsidRDefault="00BD62F7" w:rsidP="00BD62F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East China University of Political Science and Law, LL.M. (2018)</w:t>
      </w:r>
    </w:p>
    <w:p w14:paraId="183888FA" w14:textId="77777777" w:rsidR="00BD62F7" w:rsidRDefault="00BD62F7" w:rsidP="00BD62F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East China University of Political Science and Law, LL.B. (2015)</w:t>
      </w:r>
    </w:p>
    <w:p w14:paraId="18B68FCE" w14:textId="77777777" w:rsidR="00BD62F7" w:rsidRDefault="00BD62F7" w:rsidP="00BD62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62F7">
        <w:rPr>
          <w:rFonts w:ascii="等线" w:eastAsia="等线" w:hAnsi="等线"/>
          <w:b/>
          <w:sz w:val="24"/>
        </w:rPr>
        <w:t>Professional Qualification</w:t>
      </w:r>
    </w:p>
    <w:p w14:paraId="2FDC06AC" w14:textId="77777777" w:rsidR="00BD62F7" w:rsidRDefault="00BD62F7" w:rsidP="00BD62F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Admitted to practice in the PRC</w:t>
      </w:r>
    </w:p>
    <w:p w14:paraId="3A92DA11" w14:textId="77777777" w:rsidR="00BD62F7" w:rsidRDefault="00BD62F7" w:rsidP="00BD62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D62F7">
        <w:rPr>
          <w:rFonts w:ascii="等线" w:eastAsia="等线" w:hAnsi="等线"/>
          <w:b/>
          <w:sz w:val="24"/>
        </w:rPr>
        <w:t>Professional Background</w:t>
      </w:r>
    </w:p>
    <w:p w14:paraId="5567FC3C" w14:textId="2EC497F1" w:rsidR="00686369" w:rsidRPr="00BD62F7" w:rsidRDefault="00BD62F7" w:rsidP="00BD62F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D62F7">
        <w:rPr>
          <w:rFonts w:ascii="等线" w:eastAsia="等线" w:hAnsi="Times New Roman"/>
          <w:color w:val="000000"/>
        </w:rPr>
        <w:t>Ms. Xi joined Fangda in 2019.</w:t>
      </w:r>
    </w:p>
    <w:sectPr w:rsidR="00686369" w:rsidRPr="00BD62F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3056"/>
    <w:multiLevelType w:val="singleLevel"/>
    <w:tmpl w:val="6FC44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AC5C11"/>
    <w:multiLevelType w:val="singleLevel"/>
    <w:tmpl w:val="563003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DE0C5E"/>
    <w:multiLevelType w:val="singleLevel"/>
    <w:tmpl w:val="71A2F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656C96"/>
    <w:multiLevelType w:val="singleLevel"/>
    <w:tmpl w:val="E3B406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0A1524"/>
    <w:multiLevelType w:val="singleLevel"/>
    <w:tmpl w:val="8E0A8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B14F84"/>
    <w:multiLevelType w:val="singleLevel"/>
    <w:tmpl w:val="5EB27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4130DA"/>
    <w:multiLevelType w:val="singleLevel"/>
    <w:tmpl w:val="937C6B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EC4E4E"/>
    <w:multiLevelType w:val="singleLevel"/>
    <w:tmpl w:val="13FCF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70763F"/>
    <w:multiLevelType w:val="singleLevel"/>
    <w:tmpl w:val="7A906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C32C5C"/>
    <w:multiLevelType w:val="singleLevel"/>
    <w:tmpl w:val="AB626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3A0AD0"/>
    <w:multiLevelType w:val="singleLevel"/>
    <w:tmpl w:val="DF4610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164891"/>
    <w:multiLevelType w:val="singleLevel"/>
    <w:tmpl w:val="E6085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6E44E5"/>
    <w:multiLevelType w:val="singleLevel"/>
    <w:tmpl w:val="BFD604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C32956"/>
    <w:multiLevelType w:val="singleLevel"/>
    <w:tmpl w:val="C6D45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F3530C"/>
    <w:multiLevelType w:val="singleLevel"/>
    <w:tmpl w:val="8AA44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7155D8"/>
    <w:multiLevelType w:val="singleLevel"/>
    <w:tmpl w:val="7E2E2C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3337B18"/>
    <w:multiLevelType w:val="singleLevel"/>
    <w:tmpl w:val="67C804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91C2F00"/>
    <w:multiLevelType w:val="singleLevel"/>
    <w:tmpl w:val="1F44D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4AC52DB0"/>
    <w:multiLevelType w:val="singleLevel"/>
    <w:tmpl w:val="F63CE6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B1F259A"/>
    <w:multiLevelType w:val="singleLevel"/>
    <w:tmpl w:val="B6E4C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CC433D4"/>
    <w:multiLevelType w:val="singleLevel"/>
    <w:tmpl w:val="30F6C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E6693D"/>
    <w:multiLevelType w:val="singleLevel"/>
    <w:tmpl w:val="CA2ED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EC643DC"/>
    <w:multiLevelType w:val="singleLevel"/>
    <w:tmpl w:val="8E0A8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BA10005"/>
    <w:multiLevelType w:val="singleLevel"/>
    <w:tmpl w:val="E146C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65D5319"/>
    <w:multiLevelType w:val="singleLevel"/>
    <w:tmpl w:val="747675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F6200F"/>
    <w:multiLevelType w:val="singleLevel"/>
    <w:tmpl w:val="32B49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9972B4"/>
    <w:multiLevelType w:val="singleLevel"/>
    <w:tmpl w:val="0638E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F9C5FA1"/>
    <w:multiLevelType w:val="singleLevel"/>
    <w:tmpl w:val="00B0B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19"/>
  </w:num>
  <w:num w:numId="3">
    <w:abstractNumId w:val="22"/>
  </w:num>
  <w:num w:numId="4">
    <w:abstractNumId w:val="21"/>
  </w:num>
  <w:num w:numId="5">
    <w:abstractNumId w:val="29"/>
  </w:num>
  <w:num w:numId="6">
    <w:abstractNumId w:val="10"/>
  </w:num>
  <w:num w:numId="7">
    <w:abstractNumId w:val="12"/>
  </w:num>
  <w:num w:numId="8">
    <w:abstractNumId w:val="7"/>
  </w:num>
  <w:num w:numId="9">
    <w:abstractNumId w:val="2"/>
  </w:num>
  <w:num w:numId="10">
    <w:abstractNumId w:val="3"/>
  </w:num>
  <w:num w:numId="11">
    <w:abstractNumId w:val="20"/>
  </w:num>
  <w:num w:numId="12">
    <w:abstractNumId w:val="0"/>
  </w:num>
  <w:num w:numId="13">
    <w:abstractNumId w:val="18"/>
  </w:num>
  <w:num w:numId="14">
    <w:abstractNumId w:val="6"/>
  </w:num>
  <w:num w:numId="15">
    <w:abstractNumId w:val="15"/>
  </w:num>
  <w:num w:numId="16">
    <w:abstractNumId w:val="17"/>
  </w:num>
  <w:num w:numId="17">
    <w:abstractNumId w:val="1"/>
  </w:num>
  <w:num w:numId="18">
    <w:abstractNumId w:val="28"/>
  </w:num>
  <w:num w:numId="19">
    <w:abstractNumId w:val="13"/>
  </w:num>
  <w:num w:numId="20">
    <w:abstractNumId w:val="5"/>
  </w:num>
  <w:num w:numId="21">
    <w:abstractNumId w:val="23"/>
  </w:num>
  <w:num w:numId="22">
    <w:abstractNumId w:val="8"/>
  </w:num>
  <w:num w:numId="23">
    <w:abstractNumId w:val="25"/>
  </w:num>
  <w:num w:numId="24">
    <w:abstractNumId w:val="26"/>
  </w:num>
  <w:num w:numId="25">
    <w:abstractNumId w:val="27"/>
  </w:num>
  <w:num w:numId="26">
    <w:abstractNumId w:val="14"/>
  </w:num>
  <w:num w:numId="27">
    <w:abstractNumId w:val="11"/>
  </w:num>
  <w:num w:numId="28">
    <w:abstractNumId w:val="9"/>
  </w:num>
  <w:num w:numId="29">
    <w:abstractNumId w:val="4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D62F7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D62F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D62F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90DFD3-42E9-4434-8C67-C86412083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2026-06-06T04:07:00Z</dcterms:created>
  <dcterms:modified xsi:type="dcterms:W3CDTF">2026-06-06T04:07:00Z</dcterms:modified>
</cp:coreProperties>
</file>