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5364E40" w:rsidR="0049405C" w:rsidRPr="00C24D79" w:rsidRDefault="004051A4" w:rsidP="004051A4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4051A4">
              <w:rPr>
                <w:rFonts w:ascii="等线" w:eastAsia="等线" w:hAnsi="Times New Roman"/>
                <w:b/>
                <w:color w:val="000000"/>
                <w:sz w:val="48"/>
              </w:rPr>
              <w:t>LULU XI</w:t>
            </w:r>
            <w:bookmarkEnd w:id="0"/>
          </w:p>
          <w:p w14:paraId="706EB16B" w14:textId="6F64DE9D" w:rsidR="0049405C" w:rsidRPr="00C24D79" w:rsidRDefault="004051A4" w:rsidP="004051A4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4051A4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4051A4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4051A4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0BBD266C" w:rsidR="0049405C" w:rsidRPr="00C24D79" w:rsidRDefault="004051A4" w:rsidP="004051A4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4051A4">
              <w:rPr>
                <w:rFonts w:ascii="等线" w:eastAsia="等线" w:hAnsi="Times New Roman"/>
                <w:color w:val="000000"/>
              </w:rPr>
              <w:t>+86 21 6263 5993</w:t>
            </w:r>
            <w:bookmarkEnd w:id="3"/>
          </w:p>
          <w:p w14:paraId="4F910ACA" w14:textId="7277BA99" w:rsidR="0049405C" w:rsidRPr="00C24D79" w:rsidRDefault="004051A4" w:rsidP="004051A4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4051A4">
              <w:rPr>
                <w:rFonts w:ascii="等线" w:eastAsia="等线" w:hAnsi="Times New Roman"/>
                <w:color w:val="000000"/>
              </w:rPr>
              <w:t>lulu.xi@fangdalaw.com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5F2F9BC" w:rsidR="0049405C" w:rsidRPr="00C24D79" w:rsidRDefault="004051A4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5638DA6" wp14:editId="659BC4E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63E76B7" w:rsidR="009465FB" w:rsidRPr="00C24D79" w:rsidRDefault="004051A4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4051A4">
              <w:rPr>
                <w:rFonts w:ascii="等线" w:eastAsia="等线" w:hAnsi="Times New Roman"/>
                <w:color w:val="000000"/>
                <w:szCs w:val="21"/>
              </w:rPr>
              <w:t>MS. XI SPECIALIZES IN CAPITAL MARKETS, M&amp;A, PRIVATE EQUITY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02EBCCC" w14:textId="77777777" w:rsidR="004051A4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723ED1" w14:textId="77777777" w:rsidR="004051A4" w:rsidRDefault="004051A4" w:rsidP="004051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51A4">
        <w:rPr>
          <w:rFonts w:ascii="等线" w:eastAsia="等线" w:hAnsi="等线"/>
          <w:b/>
          <w:sz w:val="24"/>
        </w:rPr>
        <w:t>REPRESENTATIVE MATTERS AND CASES</w:t>
      </w:r>
    </w:p>
    <w:p w14:paraId="276F987D" w14:textId="77777777" w:rsidR="004051A4" w:rsidRDefault="004051A4" w:rsidP="004051A4">
      <w:pPr>
        <w:pStyle w:val="af5"/>
        <w:spacing w:before="12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Capital Markets</w:t>
      </w:r>
    </w:p>
    <w:p w14:paraId="62981625" w14:textId="77777777" w:rsidR="004051A4" w:rsidRDefault="004051A4" w:rsidP="004051A4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Chongqing Afari (601777.SH) in its H-share IPO</w:t>
      </w:r>
    </w:p>
    <w:p w14:paraId="73E0D809" w14:textId="77777777" w:rsidR="004051A4" w:rsidRDefault="004051A4" w:rsidP="004051A4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the sponsor in the H-share IPO of Jin Jiang Hotels</w:t>
      </w:r>
    </w:p>
    <w:p w14:paraId="5071870E" w14:textId="77777777" w:rsidR="004051A4" w:rsidRDefault="004051A4" w:rsidP="004051A4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Banma Network in its H-share IPO</w:t>
      </w:r>
    </w:p>
    <w:p w14:paraId="64DD8AB2" w14:textId="77777777" w:rsidR="004051A4" w:rsidRDefault="004051A4" w:rsidP="004051A4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ZENERGY (03677.HK) in its H-share IPO</w:t>
      </w:r>
    </w:p>
    <w:p w14:paraId="6D200F77" w14:textId="77777777" w:rsidR="004051A4" w:rsidRDefault="004051A4" w:rsidP="004051A4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Junshi Biosciences (01877.HK) in its H-share IPO</w:t>
      </w:r>
    </w:p>
    <w:p w14:paraId="378640E0" w14:textId="77777777" w:rsidR="004051A4" w:rsidRDefault="004051A4" w:rsidP="004051A4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the sponsor in the H-share IPO of WuXi AppTec (02359.HK)</w:t>
      </w:r>
    </w:p>
    <w:p w14:paraId="751AAD5F" w14:textId="77777777" w:rsidR="004051A4" w:rsidRDefault="004051A4" w:rsidP="004051A4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the sponsor in the A-share IPO of SMIC (688981.SH)</w:t>
      </w:r>
    </w:p>
    <w:p w14:paraId="5C1CF27B" w14:textId="77777777" w:rsidR="004051A4" w:rsidRDefault="004051A4" w:rsidP="004051A4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Fudan-Zhangjiang (688505.SH) in its A-share IPO</w:t>
      </w:r>
    </w:p>
    <w:p w14:paraId="267F77C5" w14:textId="77777777" w:rsidR="004051A4" w:rsidRDefault="004051A4" w:rsidP="004051A4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the sponsor in the A-share IPO of WuXi AppTec (603259.SH)</w:t>
      </w:r>
    </w:p>
    <w:p w14:paraId="4F66E11A" w14:textId="77777777" w:rsidR="004051A4" w:rsidRDefault="004051A4" w:rsidP="004051A4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the sponsor in the A-share IPO of New Centurion Network (605389.SH)</w:t>
      </w:r>
    </w:p>
    <w:p w14:paraId="4AC1C6F5" w14:textId="77777777" w:rsidR="004051A4" w:rsidRDefault="004051A4" w:rsidP="004051A4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Ant Group in its A-share and H-share IPO</w:t>
      </w:r>
    </w:p>
    <w:p w14:paraId="19B90E17" w14:textId="77777777" w:rsidR="004051A4" w:rsidRDefault="004051A4" w:rsidP="004051A4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Blue Silver (300293.SZ) in its refinancing</w:t>
      </w:r>
    </w:p>
    <w:p w14:paraId="03082829" w14:textId="77777777" w:rsidR="004051A4" w:rsidRDefault="004051A4" w:rsidP="004051A4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Shanghai Hequan in its refinancing</w:t>
      </w:r>
    </w:p>
    <w:p w14:paraId="06736B80" w14:textId="77777777" w:rsidR="004051A4" w:rsidRDefault="004051A4" w:rsidP="004051A4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Bright Power Semiconductor (688368.SH) in its material asset restructuring</w:t>
      </w:r>
    </w:p>
    <w:p w14:paraId="742F0522" w14:textId="77777777" w:rsidR="004051A4" w:rsidRDefault="004051A4" w:rsidP="004051A4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CTS (603128.SH) in acquiring control of Hangzhou Jiacheng International Logistics Co., Ltd</w:t>
      </w:r>
    </w:p>
    <w:p w14:paraId="64AABC34" w14:textId="77777777" w:rsidR="004051A4" w:rsidRDefault="004051A4" w:rsidP="004051A4">
      <w:pPr>
        <w:pStyle w:val="af5"/>
        <w:spacing w:before="12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Private Equity</w:t>
      </w:r>
    </w:p>
    <w:p w14:paraId="36491600" w14:textId="77777777" w:rsidR="004051A4" w:rsidRDefault="004051A4" w:rsidP="004051A4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Alibaba, Boyu Capital, Ping An Asset Management, Hillhouse Capital, PAG,</w:t>
      </w:r>
      <w:r w:rsidRPr="004051A4">
        <w:rPr>
          <w:rFonts w:ascii="等线" w:eastAsia="等线" w:hAnsi="Times New Roman"/>
          <w:color w:val="000000"/>
        </w:rPr>
        <w:t> </w:t>
      </w:r>
      <w:r w:rsidRPr="004051A4">
        <w:rPr>
          <w:rFonts w:ascii="等线" w:eastAsia="等线" w:hAnsi="Times New Roman"/>
          <w:color w:val="000000"/>
        </w:rPr>
        <w:t xml:space="preserve"> CPE and Huada Semiconductor in their investment transactions</w:t>
      </w:r>
    </w:p>
    <w:p w14:paraId="2B491910" w14:textId="77777777" w:rsidR="004051A4" w:rsidRDefault="004051A4" w:rsidP="004051A4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CBC Group in divesting its controlling stake in a medical device company</w:t>
      </w:r>
    </w:p>
    <w:p w14:paraId="43C6EA2B" w14:textId="77777777" w:rsidR="004051A4" w:rsidRDefault="004051A4" w:rsidP="004051A4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Abachem (300261.SZ) in its investment transactions</w:t>
      </w:r>
    </w:p>
    <w:p w14:paraId="2FCBE112" w14:textId="77777777" w:rsidR="004051A4" w:rsidRDefault="004051A4" w:rsidP="004051A4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Huada Semiconductor in its mixed-ownership reform</w:t>
      </w:r>
    </w:p>
    <w:p w14:paraId="326F20CB" w14:textId="77777777" w:rsidR="004051A4" w:rsidRDefault="004051A4" w:rsidP="004051A4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AST and CECS in their financing matters</w:t>
      </w:r>
    </w:p>
    <w:p w14:paraId="37EFC9CB" w14:textId="77777777" w:rsidR="004051A4" w:rsidRDefault="004051A4" w:rsidP="004051A4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Will Semiconductor in its outbound investment</w:t>
      </w:r>
    </w:p>
    <w:p w14:paraId="5AE653B4" w14:textId="77777777" w:rsidR="004051A4" w:rsidRDefault="004051A4" w:rsidP="004051A4">
      <w:pPr>
        <w:pStyle w:val="af5"/>
        <w:spacing w:before="12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General Corporate</w:t>
      </w:r>
    </w:p>
    <w:p w14:paraId="42B635C1" w14:textId="77777777" w:rsidR="004051A4" w:rsidRDefault="004051A4" w:rsidP="004051A4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Represented Shanghai Yunxin in its post-investment legal services</w:t>
      </w:r>
    </w:p>
    <w:p w14:paraId="214B7701" w14:textId="77777777" w:rsidR="004051A4" w:rsidRDefault="004051A4" w:rsidP="004051A4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Served as outside counsel to Huada Semiconductor, Fudan-Zhangjiang (688505.SH), Highly (600619.SH), Jin Jiang Hotels (600754.SH), Abachem (300261.SZ), and Quanzhu (603030.SH)</w:t>
      </w:r>
    </w:p>
    <w:p w14:paraId="1A00CE90" w14:textId="77777777" w:rsidR="004051A4" w:rsidRDefault="004051A4" w:rsidP="004051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51A4">
        <w:rPr>
          <w:rFonts w:ascii="等线" w:eastAsia="等线" w:hAnsi="等线"/>
          <w:b/>
          <w:sz w:val="24"/>
        </w:rPr>
        <w:t>Education</w:t>
      </w:r>
    </w:p>
    <w:p w14:paraId="664BA46F" w14:textId="77777777" w:rsidR="004051A4" w:rsidRDefault="004051A4" w:rsidP="004051A4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East China University of Political Science and Law, LL.M. (2018)</w:t>
      </w:r>
    </w:p>
    <w:p w14:paraId="3910D609" w14:textId="77777777" w:rsidR="004051A4" w:rsidRDefault="004051A4" w:rsidP="004051A4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East China University of Political Science and Law, LL.B. (2015)</w:t>
      </w:r>
    </w:p>
    <w:p w14:paraId="432DD13D" w14:textId="77777777" w:rsidR="004051A4" w:rsidRDefault="004051A4" w:rsidP="004051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51A4">
        <w:rPr>
          <w:rFonts w:ascii="等线" w:eastAsia="等线" w:hAnsi="等线"/>
          <w:b/>
          <w:sz w:val="24"/>
        </w:rPr>
        <w:t>Professional Qualification</w:t>
      </w:r>
    </w:p>
    <w:p w14:paraId="4B62F337" w14:textId="77777777" w:rsidR="004051A4" w:rsidRDefault="004051A4" w:rsidP="004051A4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Admitted to practice in the PRC</w:t>
      </w:r>
    </w:p>
    <w:p w14:paraId="3B338AF5" w14:textId="77777777" w:rsidR="004051A4" w:rsidRDefault="004051A4" w:rsidP="004051A4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4051A4">
        <w:rPr>
          <w:rFonts w:ascii="等线" w:eastAsia="等线" w:hAnsi="等线"/>
          <w:b/>
          <w:sz w:val="24"/>
        </w:rPr>
        <w:t>Professional Background</w:t>
      </w:r>
    </w:p>
    <w:p w14:paraId="5567FC3C" w14:textId="43669984" w:rsidR="00686369" w:rsidRPr="004051A4" w:rsidRDefault="004051A4" w:rsidP="004051A4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4051A4">
        <w:rPr>
          <w:rFonts w:ascii="等线" w:eastAsia="等线" w:hAnsi="Times New Roman"/>
          <w:color w:val="000000"/>
        </w:rPr>
        <w:t>Ms. Xi joined Fangda in 2019.</w:t>
      </w:r>
    </w:p>
    <w:sectPr w:rsidR="00686369" w:rsidRPr="004051A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D3FC4"/>
    <w:multiLevelType w:val="singleLevel"/>
    <w:tmpl w:val="A4364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23A744C"/>
    <w:multiLevelType w:val="singleLevel"/>
    <w:tmpl w:val="F6129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9E73F3"/>
    <w:multiLevelType w:val="singleLevel"/>
    <w:tmpl w:val="86945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31537CE"/>
    <w:multiLevelType w:val="singleLevel"/>
    <w:tmpl w:val="9912E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ACF2A75"/>
    <w:multiLevelType w:val="singleLevel"/>
    <w:tmpl w:val="270688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AF014A1"/>
    <w:multiLevelType w:val="singleLevel"/>
    <w:tmpl w:val="9A3467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B036923"/>
    <w:multiLevelType w:val="singleLevel"/>
    <w:tmpl w:val="30848C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20962B4"/>
    <w:multiLevelType w:val="singleLevel"/>
    <w:tmpl w:val="A43643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7441BD4"/>
    <w:multiLevelType w:val="singleLevel"/>
    <w:tmpl w:val="657E1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7D3340"/>
    <w:multiLevelType w:val="singleLevel"/>
    <w:tmpl w:val="BD086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82795E"/>
    <w:multiLevelType w:val="singleLevel"/>
    <w:tmpl w:val="655E26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005748C"/>
    <w:multiLevelType w:val="singleLevel"/>
    <w:tmpl w:val="BDB0C0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EF271F"/>
    <w:multiLevelType w:val="singleLevel"/>
    <w:tmpl w:val="73F88B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47E7F4A"/>
    <w:multiLevelType w:val="singleLevel"/>
    <w:tmpl w:val="AD38AB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68551A3"/>
    <w:multiLevelType w:val="singleLevel"/>
    <w:tmpl w:val="B5A627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F86F9A"/>
    <w:multiLevelType w:val="singleLevel"/>
    <w:tmpl w:val="3710CB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3F9162CD"/>
    <w:multiLevelType w:val="singleLevel"/>
    <w:tmpl w:val="3BBAC2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6F0B0A"/>
    <w:multiLevelType w:val="singleLevel"/>
    <w:tmpl w:val="A87E5E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ACF2135"/>
    <w:multiLevelType w:val="singleLevel"/>
    <w:tmpl w:val="49E2B3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854D74"/>
    <w:multiLevelType w:val="singleLevel"/>
    <w:tmpl w:val="1AC6A4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6FC4A2F"/>
    <w:multiLevelType w:val="singleLevel"/>
    <w:tmpl w:val="AAC831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9734C5"/>
    <w:multiLevelType w:val="singleLevel"/>
    <w:tmpl w:val="6CDCA0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C514A91"/>
    <w:multiLevelType w:val="singleLevel"/>
    <w:tmpl w:val="B7D892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5CE6E65"/>
    <w:multiLevelType w:val="singleLevel"/>
    <w:tmpl w:val="EFE278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73E72E4"/>
    <w:multiLevelType w:val="singleLevel"/>
    <w:tmpl w:val="1BE219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B45013F"/>
    <w:multiLevelType w:val="singleLevel"/>
    <w:tmpl w:val="9990D8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E267EA9"/>
    <w:multiLevelType w:val="singleLevel"/>
    <w:tmpl w:val="BA40B5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152D75"/>
    <w:multiLevelType w:val="singleLevel"/>
    <w:tmpl w:val="CBAC3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7"/>
  </w:num>
  <w:num w:numId="3">
    <w:abstractNumId w:val="26"/>
  </w:num>
  <w:num w:numId="4">
    <w:abstractNumId w:val="27"/>
  </w:num>
  <w:num w:numId="5">
    <w:abstractNumId w:val="10"/>
  </w:num>
  <w:num w:numId="6">
    <w:abstractNumId w:val="28"/>
  </w:num>
  <w:num w:numId="7">
    <w:abstractNumId w:val="21"/>
  </w:num>
  <w:num w:numId="8">
    <w:abstractNumId w:val="4"/>
  </w:num>
  <w:num w:numId="9">
    <w:abstractNumId w:val="19"/>
  </w:num>
  <w:num w:numId="10">
    <w:abstractNumId w:val="8"/>
  </w:num>
  <w:num w:numId="11">
    <w:abstractNumId w:val="24"/>
  </w:num>
  <w:num w:numId="12">
    <w:abstractNumId w:val="9"/>
  </w:num>
  <w:num w:numId="13">
    <w:abstractNumId w:val="6"/>
  </w:num>
  <w:num w:numId="14">
    <w:abstractNumId w:val="22"/>
  </w:num>
  <w:num w:numId="15">
    <w:abstractNumId w:val="16"/>
  </w:num>
  <w:num w:numId="16">
    <w:abstractNumId w:val="1"/>
  </w:num>
  <w:num w:numId="17">
    <w:abstractNumId w:val="5"/>
  </w:num>
  <w:num w:numId="18">
    <w:abstractNumId w:val="12"/>
  </w:num>
  <w:num w:numId="19">
    <w:abstractNumId w:val="14"/>
  </w:num>
  <w:num w:numId="20">
    <w:abstractNumId w:val="3"/>
  </w:num>
  <w:num w:numId="21">
    <w:abstractNumId w:val="25"/>
  </w:num>
  <w:num w:numId="22">
    <w:abstractNumId w:val="20"/>
  </w:num>
  <w:num w:numId="23">
    <w:abstractNumId w:val="29"/>
  </w:num>
  <w:num w:numId="24">
    <w:abstractNumId w:val="13"/>
  </w:num>
  <w:num w:numId="25">
    <w:abstractNumId w:val="18"/>
  </w:num>
  <w:num w:numId="26">
    <w:abstractNumId w:val="2"/>
  </w:num>
  <w:num w:numId="27">
    <w:abstractNumId w:val="15"/>
  </w:num>
  <w:num w:numId="28">
    <w:abstractNumId w:val="23"/>
  </w:num>
  <w:num w:numId="29">
    <w:abstractNumId w:val="7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051A4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4051A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4051A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9D6FCF7-A6AE-4715-BE72-F06648306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1855</Characters>
  <Application>Microsoft Office Word</Application>
  <DocSecurity>0</DocSecurity>
  <Lines>15</Lines>
  <Paragraphs>4</Paragraphs>
  <ScaleCrop>false</ScaleCrop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2026-06-06T05:02:00Z</dcterms:created>
  <dcterms:modified xsi:type="dcterms:W3CDTF">2026-06-06T05:02:00Z</dcterms:modified>
</cp:coreProperties>
</file>