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2733E13" w:rsidR="0049405C" w:rsidRPr="00C24D79" w:rsidRDefault="00C858CD" w:rsidP="00C858C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858CD">
              <w:rPr>
                <w:rFonts w:ascii="等线" w:eastAsia="等线" w:hAnsi="Times New Roman"/>
                <w:b/>
                <w:color w:val="000000"/>
                <w:sz w:val="48"/>
              </w:rPr>
              <w:t>YUSONG WANG</w:t>
            </w:r>
            <w:bookmarkEnd w:id="0"/>
          </w:p>
          <w:p w14:paraId="706EB16B" w14:textId="5A213DD6" w:rsidR="0049405C" w:rsidRPr="00C24D79" w:rsidRDefault="00C858CD" w:rsidP="00C858C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858C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C858C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858C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84E19E7" w:rsidR="0049405C" w:rsidRPr="00C24D79" w:rsidRDefault="00C858CD" w:rsidP="00C858C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858CD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7744809E" w:rsidR="0049405C" w:rsidRPr="00C24D79" w:rsidRDefault="00C858CD" w:rsidP="00C858C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858CD">
              <w:rPr>
                <w:rFonts w:ascii="等线" w:eastAsia="等线" w:hAnsi="Times New Roman"/>
                <w:color w:val="000000"/>
              </w:rPr>
              <w:t>yusong.wang@fangdalaw.com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E16CA8B" w:rsidR="0049405C" w:rsidRPr="00C24D79" w:rsidRDefault="00C858C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B64FD4F" wp14:editId="3CE8DA6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A07151A" w:rsidR="009465FB" w:rsidRPr="00C24D79" w:rsidRDefault="00C858C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858CD">
              <w:rPr>
                <w:rFonts w:ascii="等线" w:eastAsia="等线" w:hAnsi="Times New Roman"/>
                <w:color w:val="000000"/>
                <w:szCs w:val="21"/>
              </w:rPr>
              <w:t>MR. WANG SPECIALIZES IN CAPITAL MARKETS, INCLUDING PUBLIC OFFERING, M&amp;A AND RESTRUCTURING,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0B77BFD" w14:textId="77777777" w:rsidR="00C858C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FB9306C" w14:textId="77777777" w:rsidR="00C858CD" w:rsidRDefault="00C858CD" w:rsidP="00C858C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858CD">
        <w:rPr>
          <w:rFonts w:ascii="等线" w:eastAsia="等线" w:hAnsi="等线"/>
          <w:b/>
          <w:sz w:val="24"/>
        </w:rPr>
        <w:t>REPRESENTATIVE MATTERS AND CASES</w:t>
      </w:r>
    </w:p>
    <w:p w14:paraId="439C7549" w14:textId="77777777" w:rsidR="00C858CD" w:rsidRDefault="00C858CD" w:rsidP="00C858CD">
      <w:pPr>
        <w:pStyle w:val="af5"/>
        <w:spacing w:before="12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PUBLIC OFFERING</w:t>
      </w:r>
    </w:p>
    <w:p w14:paraId="0DE5E620" w14:textId="77777777" w:rsidR="00C858CD" w:rsidRDefault="00C858CD" w:rsidP="00C858C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Represented Motorcomm (688515.SH) in its A-share IPO</w:t>
      </w:r>
    </w:p>
    <w:p w14:paraId="5E77FBD5" w14:textId="77777777" w:rsidR="00C858CD" w:rsidRDefault="00C858CD" w:rsidP="00C858C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Represented MicuRx (688373.SH) in its A-share IPO</w:t>
      </w:r>
    </w:p>
    <w:p w14:paraId="726C66A7" w14:textId="77777777" w:rsidR="00C858CD" w:rsidRDefault="00C858CD" w:rsidP="00C858C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Represented the sponsor in connection with the A-share IPO of Intsig (688615.SH)</w:t>
      </w:r>
    </w:p>
    <w:p w14:paraId="1E8F0FD9" w14:textId="77777777" w:rsidR="00C858CD" w:rsidRDefault="00C858CD" w:rsidP="00C858C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Represented the sponsor in connection with the A-share IPO of Cellwise (688325.SH)</w:t>
      </w:r>
    </w:p>
    <w:p w14:paraId="7EA2B395" w14:textId="77777777" w:rsidR="00C858CD" w:rsidRDefault="00C858CD" w:rsidP="00C858C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Represented the sponsor in connection with the A-share IPO of NovelBeam (688677.SH)</w:t>
      </w:r>
    </w:p>
    <w:p w14:paraId="734B2E5B" w14:textId="77777777" w:rsidR="00C858CD" w:rsidRDefault="00C858CD" w:rsidP="00C858C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Represented AppTec (603259.SH) in its A-share private placement</w:t>
      </w:r>
    </w:p>
    <w:p w14:paraId="6A61CC14" w14:textId="77777777" w:rsidR="00C858CD" w:rsidRDefault="00C858CD" w:rsidP="00C858C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Represented the sponsor in connection with the A-share IPO of Amlogic (688099.SH)</w:t>
      </w:r>
    </w:p>
    <w:p w14:paraId="7304FBB9" w14:textId="77777777" w:rsidR="00C858CD" w:rsidRDefault="00C858CD" w:rsidP="00C858C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Represented Chinagreen (300970.SZ) in its A-share IPO</w:t>
      </w:r>
    </w:p>
    <w:p w14:paraId="2A5C51E9" w14:textId="77777777" w:rsidR="00C858CD" w:rsidRDefault="00C858CD" w:rsidP="00C858CD">
      <w:pPr>
        <w:pStyle w:val="af5"/>
        <w:spacing w:before="12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PUBLIC M&amp;A</w:t>
      </w:r>
    </w:p>
    <w:p w14:paraId="5A2D72CF" w14:textId="77777777" w:rsidR="00C858CD" w:rsidRDefault="00C858CD" w:rsidP="00C858C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Acted as acquirer's counsel for AVICHT (600862.SH) in its acquisition project</w:t>
      </w:r>
    </w:p>
    <w:p w14:paraId="1F3D5733" w14:textId="77777777" w:rsidR="00C858CD" w:rsidRDefault="00C858CD" w:rsidP="00C858C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Acted for Sec-Motor (603988.SH) in acquiring assets from a equipment manufacturer through issuing Sec-Motor shares to the manufacturer</w:t>
      </w:r>
    </w:p>
    <w:p w14:paraId="56706B98" w14:textId="77777777" w:rsidR="00C858CD" w:rsidRDefault="00C858CD" w:rsidP="00C858C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Acted for A-Zenith (603389.SH) in acquiring assets from a furniture manufacturer through issuing A-Zenith shares to the manufacturer</w:t>
      </w:r>
    </w:p>
    <w:p w14:paraId="1D63FA78" w14:textId="77777777" w:rsidR="00C858CD" w:rsidRDefault="00C858CD" w:rsidP="00C858C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Acted as acquirer's counsel for Zhong Chang (00859.HK) in its acquisition project</w:t>
      </w:r>
    </w:p>
    <w:p w14:paraId="2B7C7865" w14:textId="77777777" w:rsidR="00C858CD" w:rsidRDefault="00C858CD" w:rsidP="00C858CD">
      <w:pPr>
        <w:pStyle w:val="af5"/>
        <w:spacing w:before="12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EQUITY INVESTMENT AND GENERAL CORPORATE MATTERS</w:t>
      </w:r>
    </w:p>
    <w:p w14:paraId="08118E2A" w14:textId="77777777" w:rsidR="00C858CD" w:rsidRDefault="00C858CD" w:rsidP="00C858C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Represented SAIC Capital, Longwater Capital, SHANG QI Capital, Sunic Capital, TAO Capital, and Golden Education in their investments</w:t>
      </w:r>
    </w:p>
    <w:p w14:paraId="309C26AD" w14:textId="77777777" w:rsidR="00C858CD" w:rsidRDefault="00C858CD" w:rsidP="00C858C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Represented MicuRx (688373.SH) in equity financing deals</w:t>
      </w:r>
    </w:p>
    <w:p w14:paraId="4C3F3E06" w14:textId="77777777" w:rsidR="00C858CD" w:rsidRDefault="00C858CD" w:rsidP="00C858C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Provided general corporate legal service for MicuRx (688373.SH), Amlogic (688099.SH), Anjoy (603345.SH), and Leadshow (603272.SH)</w:t>
      </w:r>
    </w:p>
    <w:p w14:paraId="1E66C80F" w14:textId="77777777" w:rsidR="00C858CD" w:rsidRDefault="00C858CD" w:rsidP="00C858C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858CD">
        <w:rPr>
          <w:rFonts w:ascii="等线" w:eastAsia="等线" w:hAnsi="等线"/>
          <w:b/>
          <w:sz w:val="24"/>
        </w:rPr>
        <w:t>Education</w:t>
      </w:r>
    </w:p>
    <w:p w14:paraId="383C8194" w14:textId="77777777" w:rsidR="00C858CD" w:rsidRDefault="00C858CD" w:rsidP="00C858C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Shanghai Jiao Tong University, J.M.</w:t>
      </w:r>
    </w:p>
    <w:p w14:paraId="60180798" w14:textId="77777777" w:rsidR="00C858CD" w:rsidRDefault="00C858CD" w:rsidP="00C858C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858CD">
        <w:rPr>
          <w:rFonts w:ascii="等线" w:eastAsia="等线" w:hAnsi="等线"/>
          <w:b/>
          <w:sz w:val="24"/>
        </w:rPr>
        <w:t>Professional Qualification</w:t>
      </w:r>
    </w:p>
    <w:p w14:paraId="0691E34A" w14:textId="77777777" w:rsidR="00C858CD" w:rsidRDefault="00C858CD" w:rsidP="00C858C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Admitted to practice in the PRC</w:t>
      </w:r>
    </w:p>
    <w:p w14:paraId="371A08E6" w14:textId="77777777" w:rsidR="00C858CD" w:rsidRDefault="00C858CD" w:rsidP="00C858C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858CD">
        <w:rPr>
          <w:rFonts w:ascii="等线" w:eastAsia="等线" w:hAnsi="等线"/>
          <w:b/>
          <w:sz w:val="24"/>
        </w:rPr>
        <w:t>Professional Background</w:t>
      </w:r>
    </w:p>
    <w:p w14:paraId="5567FC3C" w14:textId="7CD429BB" w:rsidR="00686369" w:rsidRPr="00C858CD" w:rsidRDefault="00C858CD" w:rsidP="00C858C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858CD">
        <w:rPr>
          <w:rFonts w:ascii="等线" w:eastAsia="等线" w:hAnsi="Times New Roman"/>
          <w:color w:val="000000"/>
        </w:rPr>
        <w:t>Mr. Wang joined Fangda in 2022. Before joining the firm, he worked at a leading law firm in capital markets.</w:t>
      </w:r>
    </w:p>
    <w:sectPr w:rsidR="00686369" w:rsidRPr="00C858C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5676C"/>
    <w:multiLevelType w:val="singleLevel"/>
    <w:tmpl w:val="5AB68A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6963F7A"/>
    <w:multiLevelType w:val="singleLevel"/>
    <w:tmpl w:val="40FA1D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A6D0797"/>
    <w:multiLevelType w:val="singleLevel"/>
    <w:tmpl w:val="7C4837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6E7EFA"/>
    <w:multiLevelType w:val="singleLevel"/>
    <w:tmpl w:val="E4A095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BA2FBF"/>
    <w:multiLevelType w:val="singleLevel"/>
    <w:tmpl w:val="4AEA69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E2775B0"/>
    <w:multiLevelType w:val="singleLevel"/>
    <w:tmpl w:val="FEAEF7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8850B2"/>
    <w:multiLevelType w:val="singleLevel"/>
    <w:tmpl w:val="635053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4C355BC"/>
    <w:multiLevelType w:val="singleLevel"/>
    <w:tmpl w:val="2C9812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6F21AFC"/>
    <w:multiLevelType w:val="singleLevel"/>
    <w:tmpl w:val="01D000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7190B3F"/>
    <w:multiLevelType w:val="singleLevel"/>
    <w:tmpl w:val="78664C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BC536B9"/>
    <w:multiLevelType w:val="singleLevel"/>
    <w:tmpl w:val="582632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E86A33"/>
    <w:multiLevelType w:val="singleLevel"/>
    <w:tmpl w:val="CDC224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C4F7EEC"/>
    <w:multiLevelType w:val="singleLevel"/>
    <w:tmpl w:val="90EAC8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EB927FC"/>
    <w:multiLevelType w:val="singleLevel"/>
    <w:tmpl w:val="895893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C082E49"/>
    <w:multiLevelType w:val="singleLevel"/>
    <w:tmpl w:val="E41212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C1C48C7"/>
    <w:multiLevelType w:val="singleLevel"/>
    <w:tmpl w:val="E4A095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7832538"/>
    <w:multiLevelType w:val="singleLevel"/>
    <w:tmpl w:val="991672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AFB4CE3"/>
    <w:multiLevelType w:val="singleLevel"/>
    <w:tmpl w:val="0CD6C6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B6E7AF1"/>
    <w:multiLevelType w:val="singleLevel"/>
    <w:tmpl w:val="D876A4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1"/>
  </w:num>
  <w:num w:numId="3">
    <w:abstractNumId w:val="15"/>
  </w:num>
  <w:num w:numId="4">
    <w:abstractNumId w:val="14"/>
  </w:num>
  <w:num w:numId="5">
    <w:abstractNumId w:val="4"/>
  </w:num>
  <w:num w:numId="6">
    <w:abstractNumId w:val="8"/>
  </w:num>
  <w:num w:numId="7">
    <w:abstractNumId w:val="5"/>
  </w:num>
  <w:num w:numId="8">
    <w:abstractNumId w:val="18"/>
  </w:num>
  <w:num w:numId="9">
    <w:abstractNumId w:val="2"/>
  </w:num>
  <w:num w:numId="10">
    <w:abstractNumId w:val="10"/>
  </w:num>
  <w:num w:numId="11">
    <w:abstractNumId w:val="20"/>
  </w:num>
  <w:num w:numId="12">
    <w:abstractNumId w:val="13"/>
  </w:num>
  <w:num w:numId="13">
    <w:abstractNumId w:val="6"/>
  </w:num>
  <w:num w:numId="14">
    <w:abstractNumId w:val="16"/>
  </w:num>
  <w:num w:numId="15">
    <w:abstractNumId w:val="0"/>
  </w:num>
  <w:num w:numId="16">
    <w:abstractNumId w:val="9"/>
  </w:num>
  <w:num w:numId="17">
    <w:abstractNumId w:val="19"/>
  </w:num>
  <w:num w:numId="18">
    <w:abstractNumId w:val="1"/>
  </w:num>
  <w:num w:numId="19">
    <w:abstractNumId w:val="12"/>
  </w:num>
  <w:num w:numId="20">
    <w:abstractNumId w:val="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858CD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858C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858C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11C3E55-E0E8-4194-A55B-3B6E94637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2026-05-17T00:42:00Z</dcterms:created>
  <dcterms:modified xsi:type="dcterms:W3CDTF">2026-05-17T00:42:00Z</dcterms:modified>
</cp:coreProperties>
</file>